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A014" w14:textId="2A7E4F2C" w:rsidR="008F71B0" w:rsidRPr="0011685F" w:rsidRDefault="0011685F" w:rsidP="000F7875">
      <w:pPr>
        <w:spacing w:line="360" w:lineRule="auto"/>
        <w:rPr>
          <w:rFonts w:ascii="Arial" w:hAnsi="Arial" w:cs="Arial"/>
          <w:b/>
          <w:bCs/>
          <w:color w:val="000000"/>
          <w:sz w:val="18"/>
          <w:szCs w:val="18"/>
          <w:lang w:val="fr-CH" w:eastAsia="de-CH"/>
        </w:rPr>
      </w:pPr>
      <w:r w:rsidRPr="0011685F">
        <w:rPr>
          <w:rFonts w:ascii="Arial" w:hAnsi="Arial" w:cs="Arial"/>
          <w:b/>
          <w:bCs/>
          <w:color w:val="000000"/>
          <w:sz w:val="22"/>
          <w:szCs w:val="18"/>
          <w:lang w:val="fr-CH" w:eastAsia="de-CH"/>
        </w:rPr>
        <w:t>La gamme Hybrox reçoit un ajout puissant</w:t>
      </w:r>
    </w:p>
    <w:p w14:paraId="5D4320B8" w14:textId="77777777" w:rsidR="0011685F" w:rsidRPr="00301EE3" w:rsidRDefault="0011685F" w:rsidP="000F7875">
      <w:pPr>
        <w:spacing w:line="360" w:lineRule="auto"/>
        <w:rPr>
          <w:rFonts w:ascii="Arial" w:hAnsi="Arial" w:cs="Arial"/>
          <w:b/>
          <w:bCs/>
          <w:color w:val="000000"/>
          <w:sz w:val="18"/>
          <w:szCs w:val="18"/>
          <w:lang w:val="fr-CH" w:eastAsia="de-CH"/>
        </w:rPr>
      </w:pPr>
    </w:p>
    <w:p w14:paraId="17ABFAA7" w14:textId="4EC1F0F7" w:rsidR="006A092E" w:rsidRDefault="004C74DF" w:rsidP="00C07FF0">
      <w:pPr>
        <w:spacing w:line="360" w:lineRule="auto"/>
        <w:rPr>
          <w:rFonts w:ascii="Arial" w:hAnsi="Arial" w:cs="Arial"/>
          <w:b/>
          <w:bCs/>
          <w:color w:val="000000"/>
          <w:sz w:val="18"/>
          <w:szCs w:val="18"/>
          <w:lang w:val="fr-CH" w:eastAsia="de-CH"/>
        </w:rPr>
      </w:pPr>
      <w:r w:rsidRPr="004C74DF">
        <w:rPr>
          <w:rFonts w:ascii="Arial" w:hAnsi="Arial" w:cs="Arial"/>
          <w:b/>
          <w:bCs/>
          <w:color w:val="000000"/>
          <w:sz w:val="18"/>
          <w:szCs w:val="18"/>
          <w:lang w:val="fr-CH" w:eastAsia="de-CH"/>
        </w:rPr>
        <w:t>alpha innotec - l'un des principaux spécialistes des pompes à chaleur en Suisse - élargit sa gamme Hybrox avec deux versions performantes. Les nouvelles pompes à chaleur air/eau séduisent par leur design moderne et fonctionnent avec le fluide frigorigène naturel R290. Des unités intérieures sur mesure assurent des solutions de chauffage faciles à installer et économiques.</w:t>
      </w:r>
    </w:p>
    <w:p w14:paraId="0DF91F21" w14:textId="77777777" w:rsidR="004C74DF" w:rsidRPr="004C74DF" w:rsidRDefault="004C74DF" w:rsidP="00C07FF0">
      <w:pPr>
        <w:spacing w:line="360" w:lineRule="auto"/>
        <w:rPr>
          <w:rFonts w:ascii="Arial" w:hAnsi="Arial" w:cs="Arial"/>
          <w:color w:val="000000"/>
          <w:sz w:val="18"/>
          <w:szCs w:val="18"/>
          <w:lang w:val="fr-CH" w:eastAsia="de-CH"/>
        </w:rPr>
      </w:pPr>
    </w:p>
    <w:p w14:paraId="5B22496C" w14:textId="5B8BBCE2" w:rsidR="008D041B" w:rsidRDefault="00217AC9" w:rsidP="00C97302">
      <w:pPr>
        <w:spacing w:line="360" w:lineRule="auto"/>
        <w:rPr>
          <w:rFonts w:ascii="Arial" w:hAnsi="Arial" w:cs="Arial"/>
          <w:color w:val="000000"/>
          <w:sz w:val="18"/>
          <w:szCs w:val="18"/>
          <w:lang w:val="fr-CH" w:eastAsia="de-CH"/>
        </w:rPr>
      </w:pPr>
      <w:r w:rsidRPr="00217AC9">
        <w:rPr>
          <w:rFonts w:ascii="Arial" w:hAnsi="Arial" w:cs="Arial"/>
          <w:color w:val="000000"/>
          <w:sz w:val="18"/>
          <w:szCs w:val="18"/>
          <w:lang w:val="fr-CH" w:eastAsia="de-CH"/>
        </w:rPr>
        <w:t>Les deux nouvelles pompes à chaleur Hybrox fonctionnent avec du propane (R290), un fluide frigorigène respectueux de l'environnement qu'alpha innotec utilise depuis 25 ans déjà. Ainsi, alpha innotec continue à miser résolument sur le respect de l'environnement et l'efficacité. Les puissances calorifiques sont de 9,3 kW ou 13,0 kW (A-7/W35) et la température de départ maximale est de 78 °C, ce qui est considérable. Le fonctionnement silencieux est également impressionnant, avec une puissance sonore de 46 dB(A). Les nouveaux appareils Hybrox conviennent donc aux exigences les plus diverses, de l'utilisation dans les constructions neuves à plusieurs étages jusqu'au fonctionnement dans les rénovations. En outre, les nouveaux modèles disposent également d'une fonction rafraîchissement intégrée qui, associée à un chauffage par le sol, assure une température agréable les jours de grande chaleur.</w:t>
      </w:r>
    </w:p>
    <w:p w14:paraId="4C4F79AA" w14:textId="77777777" w:rsidR="00091C67" w:rsidRPr="00217AC9" w:rsidRDefault="00091C67" w:rsidP="00C97302">
      <w:pPr>
        <w:spacing w:line="360" w:lineRule="auto"/>
        <w:rPr>
          <w:rFonts w:ascii="Arial" w:hAnsi="Arial" w:cs="Arial"/>
          <w:color w:val="000000"/>
          <w:sz w:val="18"/>
          <w:szCs w:val="18"/>
          <w:lang w:val="fr-CH" w:eastAsia="de-CH"/>
        </w:rPr>
      </w:pPr>
    </w:p>
    <w:p w14:paraId="259D9223" w14:textId="28FC1AFD" w:rsidR="00091C67" w:rsidRPr="00301EE3" w:rsidRDefault="00091C67" w:rsidP="00673E13">
      <w:pPr>
        <w:spacing w:line="360" w:lineRule="auto"/>
        <w:rPr>
          <w:rFonts w:ascii="Arial" w:hAnsi="Arial" w:cs="Arial"/>
          <w:b/>
          <w:bCs/>
          <w:color w:val="000000"/>
          <w:sz w:val="18"/>
          <w:szCs w:val="18"/>
          <w:lang w:val="fr-CH" w:eastAsia="de-CH"/>
        </w:rPr>
      </w:pPr>
      <w:r w:rsidRPr="00301EE3">
        <w:rPr>
          <w:rFonts w:ascii="Arial" w:hAnsi="Arial" w:cs="Arial"/>
          <w:b/>
          <w:bCs/>
          <w:color w:val="000000"/>
          <w:sz w:val="18"/>
          <w:szCs w:val="18"/>
          <w:lang w:val="fr-CH" w:eastAsia="de-CH"/>
        </w:rPr>
        <w:t>Les unités intérieures sur mesure facilitent l'installation</w:t>
      </w:r>
    </w:p>
    <w:p w14:paraId="19BC0DD3" w14:textId="6D92CA95" w:rsidR="0027720D" w:rsidRDefault="00F16FCD" w:rsidP="00673E13">
      <w:pPr>
        <w:spacing w:line="360" w:lineRule="auto"/>
        <w:rPr>
          <w:rFonts w:ascii="Arial" w:hAnsi="Arial" w:cs="Arial"/>
          <w:color w:val="000000"/>
          <w:sz w:val="18"/>
          <w:szCs w:val="18"/>
          <w:lang w:val="fr-CH" w:eastAsia="de-CH"/>
        </w:rPr>
      </w:pPr>
      <w:r w:rsidRPr="00F16FCD">
        <w:rPr>
          <w:rFonts w:ascii="Arial" w:hAnsi="Arial" w:cs="Arial"/>
          <w:color w:val="000000"/>
          <w:sz w:val="18"/>
          <w:szCs w:val="18"/>
          <w:lang w:val="fr-CH" w:eastAsia="de-CH"/>
        </w:rPr>
        <w:t>Trois unités intérieures différentes offrent la possibilité de personnaliser l'Hybrox en fonction des besoins et des spécificités du projet. Qu'il s'agisse d'une personnalisation maximale avec le régulateur mural ou de la solution plug-and-play peu encombrante de la station hydraulique avec réservoir tampon de séparation et ballon d'eau chaude intégré de 280 L, le système Hybrox permet de gagner un temps précieux et de réduire les coûts lors de l'installation.</w:t>
      </w:r>
    </w:p>
    <w:p w14:paraId="2053AEFA" w14:textId="77777777" w:rsidR="00F16FCD" w:rsidRPr="00F16FCD" w:rsidRDefault="00F16FCD" w:rsidP="00673E13">
      <w:pPr>
        <w:spacing w:line="360" w:lineRule="auto"/>
        <w:rPr>
          <w:rFonts w:ascii="Arial" w:hAnsi="Arial" w:cs="Arial"/>
          <w:color w:val="000000"/>
          <w:sz w:val="18"/>
          <w:szCs w:val="18"/>
          <w:lang w:val="fr-CH" w:eastAsia="de-CH"/>
        </w:rPr>
      </w:pPr>
    </w:p>
    <w:p w14:paraId="6A75F3BD" w14:textId="77777777" w:rsidR="00341CA5" w:rsidRPr="00341CA5" w:rsidRDefault="00341CA5" w:rsidP="0027720D">
      <w:pPr>
        <w:spacing w:line="360" w:lineRule="auto"/>
        <w:rPr>
          <w:rFonts w:ascii="Arial" w:hAnsi="Arial" w:cs="Arial"/>
          <w:b/>
          <w:bCs/>
          <w:color w:val="000000"/>
          <w:sz w:val="18"/>
          <w:szCs w:val="18"/>
          <w:lang w:val="fr-CH" w:eastAsia="de-CH"/>
        </w:rPr>
      </w:pPr>
      <w:r w:rsidRPr="00341CA5">
        <w:rPr>
          <w:rFonts w:ascii="Arial" w:hAnsi="Arial" w:cs="Arial"/>
          <w:b/>
          <w:bCs/>
          <w:color w:val="000000"/>
          <w:sz w:val="18"/>
          <w:szCs w:val="18"/>
          <w:lang w:val="fr-CH" w:eastAsia="de-CH"/>
        </w:rPr>
        <w:t>Hybrox - prêt pour le futur digital</w:t>
      </w:r>
    </w:p>
    <w:p w14:paraId="69BEE8B8" w14:textId="5691E67A" w:rsidR="00D07FA3" w:rsidRDefault="0047238D" w:rsidP="0027720D">
      <w:pPr>
        <w:spacing w:line="360" w:lineRule="auto"/>
        <w:rPr>
          <w:rFonts w:ascii="Arial" w:hAnsi="Arial" w:cs="Arial"/>
          <w:color w:val="000000"/>
          <w:sz w:val="18"/>
          <w:szCs w:val="18"/>
          <w:lang w:val="fr-CH" w:eastAsia="de-CH"/>
        </w:rPr>
      </w:pPr>
      <w:r w:rsidRPr="0047238D">
        <w:rPr>
          <w:rFonts w:ascii="Arial" w:hAnsi="Arial" w:cs="Arial"/>
          <w:color w:val="000000"/>
          <w:sz w:val="18"/>
          <w:szCs w:val="18"/>
          <w:lang w:val="fr-CH" w:eastAsia="de-CH"/>
        </w:rPr>
        <w:t>L'avenir de l'infrastructure énergétique réside dans les installations de consommation intelligentes et en réseau. Avec l'introduction des nouveaux appareils Hybrox, toutes les nouvelles pompes à chaleur d'alpha innotec sont désormais SG-Ready . Ce label garantit une communication standardisée entre les produits, les systèmes, les installations et les réseaux électriques. Avec la connexion en ligne myUplink, les appareils peuvent être surveillés et réglés via une application en ligne. L'intégration dans un système de maison intelligente est également préparée.</w:t>
      </w:r>
    </w:p>
    <w:p w14:paraId="2C0DF062" w14:textId="77777777" w:rsidR="0047238D" w:rsidRPr="0047238D" w:rsidRDefault="0047238D" w:rsidP="0027720D">
      <w:pPr>
        <w:spacing w:line="360" w:lineRule="auto"/>
        <w:rPr>
          <w:rFonts w:ascii="Arial" w:hAnsi="Arial" w:cs="Arial"/>
          <w:color w:val="000000"/>
          <w:sz w:val="18"/>
          <w:szCs w:val="18"/>
          <w:lang w:val="fr-CH" w:eastAsia="de-CH"/>
        </w:rPr>
      </w:pPr>
    </w:p>
    <w:p w14:paraId="2FE10943" w14:textId="5FCFE97F" w:rsidR="00E834E7" w:rsidRDefault="001B4EBF" w:rsidP="0027720D">
      <w:pPr>
        <w:spacing w:line="360" w:lineRule="auto"/>
        <w:rPr>
          <w:rFonts w:ascii="Arial" w:hAnsi="Arial" w:cs="Arial"/>
          <w:color w:val="000000"/>
          <w:sz w:val="18"/>
          <w:szCs w:val="18"/>
          <w:lang w:val="fr-CH" w:eastAsia="de-CH"/>
        </w:rPr>
      </w:pPr>
      <w:r w:rsidRPr="001B4EBF">
        <w:rPr>
          <w:rFonts w:ascii="Arial" w:hAnsi="Arial" w:cs="Arial"/>
          <w:color w:val="000000"/>
          <w:sz w:val="18"/>
          <w:szCs w:val="18"/>
          <w:lang w:val="fr-CH" w:eastAsia="de-CH"/>
        </w:rPr>
        <w:t xml:space="preserve">Découvrez les avantages convaincants de la nouvelle gamme Hybrox d'alpha innotec avec le fluide frigorigène naturel R290. </w:t>
      </w:r>
      <w:r w:rsidRPr="00301EE3">
        <w:rPr>
          <w:rFonts w:ascii="Arial" w:hAnsi="Arial" w:cs="Arial"/>
          <w:color w:val="000000"/>
          <w:sz w:val="18"/>
          <w:szCs w:val="18"/>
          <w:lang w:val="fr-CH" w:eastAsia="de-CH"/>
        </w:rPr>
        <w:t>Nous nous ferons un plaisir de vous conseiller.</w:t>
      </w:r>
    </w:p>
    <w:p w14:paraId="38D0FCF3" w14:textId="002EAF0A" w:rsidR="0064237D" w:rsidRPr="006833BC" w:rsidRDefault="0064237D" w:rsidP="0064237D">
      <w:pPr>
        <w:spacing w:line="360" w:lineRule="auto"/>
        <w:jc w:val="right"/>
        <w:rPr>
          <w:rFonts w:ascii="Arial" w:hAnsi="Arial" w:cs="Arial"/>
          <w:color w:val="000000"/>
          <w:sz w:val="14"/>
          <w:szCs w:val="14"/>
          <w:lang w:val="it-IT" w:eastAsia="de-CH"/>
        </w:rPr>
      </w:pPr>
      <w:r w:rsidRPr="006833BC">
        <w:rPr>
          <w:rFonts w:ascii="Arial" w:hAnsi="Arial" w:cs="Arial"/>
          <w:color w:val="000000"/>
          <w:sz w:val="14"/>
          <w:szCs w:val="14"/>
          <w:lang w:val="it-IT" w:eastAsia="de-CH"/>
        </w:rPr>
        <w:t>08.05.2024 / ALKO / 2’</w:t>
      </w:r>
      <w:r>
        <w:rPr>
          <w:rFonts w:ascii="Arial" w:hAnsi="Arial" w:cs="Arial"/>
          <w:color w:val="000000"/>
          <w:sz w:val="14"/>
          <w:szCs w:val="14"/>
          <w:lang w:val="it-IT" w:eastAsia="de-CH"/>
        </w:rPr>
        <w:t>600</w:t>
      </w:r>
      <w:r w:rsidRPr="006833BC">
        <w:rPr>
          <w:rFonts w:ascii="Arial" w:hAnsi="Arial" w:cs="Arial"/>
          <w:color w:val="000000"/>
          <w:sz w:val="14"/>
          <w:szCs w:val="14"/>
          <w:lang w:val="it-IT" w:eastAsia="de-CH"/>
        </w:rPr>
        <w:t>Z</w:t>
      </w:r>
    </w:p>
    <w:p w14:paraId="7B3DBE0C" w14:textId="3B2095B5" w:rsidR="004C2592" w:rsidRPr="00301EE3" w:rsidRDefault="00B309A0" w:rsidP="000F7875">
      <w:pPr>
        <w:spacing w:line="360" w:lineRule="auto"/>
        <w:rPr>
          <w:rFonts w:ascii="Arial" w:hAnsi="Arial" w:cs="Arial"/>
          <w:color w:val="000000"/>
          <w:sz w:val="18"/>
          <w:szCs w:val="18"/>
          <w:lang w:val="fr-CH" w:eastAsia="de-CH"/>
        </w:rPr>
      </w:pPr>
      <w:r w:rsidRPr="00301EE3">
        <w:rPr>
          <w:rFonts w:ascii="Arial" w:hAnsi="Arial" w:cs="Arial"/>
          <w:color w:val="000000"/>
          <w:sz w:val="18"/>
          <w:szCs w:val="18"/>
          <w:lang w:val="fr-CH" w:eastAsia="de-CH"/>
        </w:rPr>
        <w:t>-------------------------------------------------</w:t>
      </w:r>
    </w:p>
    <w:p w14:paraId="7AE5B166" w14:textId="54651CF9" w:rsidR="007A45CA" w:rsidRPr="00301EE3" w:rsidRDefault="001B4EBF" w:rsidP="007A45CA">
      <w:pPr>
        <w:spacing w:line="360" w:lineRule="auto"/>
        <w:rPr>
          <w:rFonts w:ascii="Arial" w:hAnsi="Arial" w:cs="Arial"/>
          <w:b/>
          <w:color w:val="000000"/>
          <w:sz w:val="18"/>
          <w:szCs w:val="18"/>
          <w:lang w:val="fr-CH" w:eastAsia="de-CH"/>
        </w:rPr>
      </w:pPr>
      <w:r w:rsidRPr="00301EE3">
        <w:rPr>
          <w:rFonts w:ascii="Arial" w:hAnsi="Arial" w:cs="Arial"/>
          <w:b/>
          <w:color w:val="000000"/>
          <w:sz w:val="18"/>
          <w:szCs w:val="18"/>
          <w:lang w:val="fr-CH" w:eastAsia="de-CH"/>
        </w:rPr>
        <w:t>Plus d'informations</w:t>
      </w:r>
      <w:r w:rsidR="007A45CA" w:rsidRPr="00301EE3">
        <w:rPr>
          <w:rFonts w:ascii="Arial" w:hAnsi="Arial" w:cs="Arial"/>
          <w:b/>
          <w:color w:val="000000"/>
          <w:sz w:val="18"/>
          <w:szCs w:val="18"/>
          <w:lang w:val="fr-CH" w:eastAsia="de-CH"/>
        </w:rPr>
        <w:t>:</w:t>
      </w:r>
    </w:p>
    <w:p w14:paraId="58D382A0" w14:textId="77777777" w:rsidR="007A45CA" w:rsidRPr="00301EE3" w:rsidRDefault="007A45CA" w:rsidP="007A45CA">
      <w:pPr>
        <w:spacing w:line="360" w:lineRule="auto"/>
        <w:rPr>
          <w:rFonts w:ascii="Arial" w:hAnsi="Arial" w:cs="Arial"/>
          <w:color w:val="000000"/>
          <w:sz w:val="18"/>
          <w:szCs w:val="18"/>
          <w:lang w:val="fr-CH" w:eastAsia="de-CH"/>
        </w:rPr>
      </w:pPr>
      <w:r w:rsidRPr="00301EE3">
        <w:rPr>
          <w:rFonts w:ascii="Arial" w:hAnsi="Arial" w:cs="Arial"/>
          <w:color w:val="000000"/>
          <w:sz w:val="18"/>
          <w:szCs w:val="18"/>
          <w:lang w:val="fr-CH" w:eastAsia="de-CH"/>
        </w:rPr>
        <w:t xml:space="preserve">alpha innotec </w:t>
      </w:r>
    </w:p>
    <w:p w14:paraId="2128B674" w14:textId="27342861" w:rsidR="00015070" w:rsidRDefault="00155E80" w:rsidP="007A45CA">
      <w:pPr>
        <w:spacing w:line="360" w:lineRule="auto"/>
        <w:rPr>
          <w:rFonts w:ascii="Arial" w:hAnsi="Arial" w:cs="Arial"/>
          <w:color w:val="000000"/>
          <w:sz w:val="18"/>
          <w:szCs w:val="18"/>
          <w:lang w:val="fr-CH" w:eastAsia="de-CH"/>
        </w:rPr>
      </w:pPr>
      <w:r w:rsidRPr="00155E80">
        <w:rPr>
          <w:rFonts w:ascii="Arial" w:hAnsi="Arial" w:cs="Arial"/>
          <w:color w:val="000000"/>
          <w:sz w:val="18"/>
          <w:szCs w:val="18"/>
          <w:lang w:val="fr-CH" w:eastAsia="de-CH"/>
        </w:rPr>
        <w:t xml:space="preserve">Route de la Venoge </w:t>
      </w:r>
      <w:r w:rsidR="00301EE3">
        <w:rPr>
          <w:rFonts w:ascii="Arial" w:hAnsi="Arial" w:cs="Arial"/>
          <w:color w:val="000000"/>
          <w:sz w:val="18"/>
          <w:szCs w:val="18"/>
          <w:lang w:val="fr-CH" w:eastAsia="de-CH"/>
        </w:rPr>
        <w:t xml:space="preserve">1 </w:t>
      </w:r>
      <w:r w:rsidRPr="00155E80">
        <w:rPr>
          <w:rFonts w:ascii="Arial" w:hAnsi="Arial" w:cs="Arial"/>
          <w:color w:val="000000"/>
          <w:sz w:val="18"/>
          <w:szCs w:val="18"/>
          <w:lang w:val="fr-CH" w:eastAsia="de-CH"/>
        </w:rPr>
        <w:t>· 1123 A</w:t>
      </w:r>
      <w:r>
        <w:rPr>
          <w:rFonts w:ascii="Arial" w:hAnsi="Arial" w:cs="Arial"/>
          <w:color w:val="000000"/>
          <w:sz w:val="18"/>
          <w:szCs w:val="18"/>
          <w:lang w:val="fr-CH" w:eastAsia="de-CH"/>
        </w:rPr>
        <w:t>clens</w:t>
      </w:r>
    </w:p>
    <w:p w14:paraId="67E67116" w14:textId="47F6539B" w:rsidR="00155E80" w:rsidRPr="0064237D" w:rsidRDefault="00155E80" w:rsidP="007A45CA">
      <w:pPr>
        <w:spacing w:line="360" w:lineRule="auto"/>
        <w:rPr>
          <w:rFonts w:ascii="Arial" w:hAnsi="Arial" w:cs="Arial"/>
          <w:color w:val="000000"/>
          <w:sz w:val="18"/>
          <w:szCs w:val="18"/>
          <w:lang w:val="de-CH" w:eastAsia="de-CH"/>
        </w:rPr>
      </w:pPr>
      <w:r w:rsidRPr="0064237D">
        <w:rPr>
          <w:rFonts w:ascii="Arial" w:hAnsi="Arial" w:cs="Arial"/>
          <w:color w:val="000000"/>
          <w:sz w:val="18"/>
          <w:szCs w:val="18"/>
          <w:lang w:val="de-CH" w:eastAsia="de-CH"/>
        </w:rPr>
        <w:t>Tel. 058 252 2</w:t>
      </w:r>
      <w:r w:rsidR="0083209D" w:rsidRPr="0064237D">
        <w:rPr>
          <w:rFonts w:ascii="Arial" w:hAnsi="Arial" w:cs="Arial"/>
          <w:color w:val="000000"/>
          <w:sz w:val="18"/>
          <w:szCs w:val="18"/>
          <w:lang w:val="de-CH" w:eastAsia="de-CH"/>
        </w:rPr>
        <w:t>1 40</w:t>
      </w:r>
    </w:p>
    <w:p w14:paraId="18950C58" w14:textId="4350FEA4" w:rsidR="0083209D" w:rsidRPr="0064237D" w:rsidRDefault="0083209D" w:rsidP="007A45CA">
      <w:pPr>
        <w:spacing w:line="360" w:lineRule="auto"/>
        <w:rPr>
          <w:rFonts w:ascii="Arial" w:hAnsi="Arial" w:cs="Arial"/>
          <w:color w:val="000000"/>
          <w:sz w:val="18"/>
          <w:szCs w:val="18"/>
          <w:lang w:val="de-CH" w:eastAsia="de-CH"/>
        </w:rPr>
      </w:pPr>
      <w:r w:rsidRPr="0064237D">
        <w:rPr>
          <w:rFonts w:ascii="Arial" w:hAnsi="Arial" w:cs="Arial"/>
          <w:color w:val="000000"/>
          <w:sz w:val="18"/>
          <w:szCs w:val="18"/>
          <w:lang w:val="de-CH" w:eastAsia="de-CH"/>
        </w:rPr>
        <w:t xml:space="preserve">www.alpha-innotec.ch · </w:t>
      </w:r>
      <w:r w:rsidR="00795E2E" w:rsidRPr="0064237D">
        <w:rPr>
          <w:rFonts w:ascii="Arial" w:hAnsi="Arial" w:cs="Arial"/>
          <w:color w:val="000000"/>
          <w:sz w:val="18"/>
          <w:szCs w:val="18"/>
          <w:lang w:val="de-CH" w:eastAsia="de-CH"/>
        </w:rPr>
        <w:t xml:space="preserve">info.fr@alpha-innotec.ch </w:t>
      </w:r>
    </w:p>
    <w:p w14:paraId="4C6AE5FD" w14:textId="77777777" w:rsidR="007A45CA" w:rsidRPr="0064237D" w:rsidRDefault="007A45CA" w:rsidP="007A45CA">
      <w:pPr>
        <w:autoSpaceDE/>
        <w:autoSpaceDN/>
        <w:rPr>
          <w:rFonts w:ascii="Arial" w:hAnsi="Arial" w:cs="Arial"/>
          <w:color w:val="000000"/>
          <w:sz w:val="18"/>
          <w:szCs w:val="18"/>
          <w:lang w:val="de-CH" w:eastAsia="de-CH"/>
        </w:rPr>
      </w:pPr>
      <w:r w:rsidRPr="0064237D">
        <w:rPr>
          <w:rFonts w:ascii="Arial" w:hAnsi="Arial" w:cs="Arial"/>
          <w:color w:val="000000"/>
          <w:sz w:val="18"/>
          <w:szCs w:val="18"/>
          <w:lang w:val="de-CH" w:eastAsia="de-CH"/>
        </w:rPr>
        <w:br w:type="page"/>
      </w:r>
    </w:p>
    <w:p w14:paraId="3BC4A2DD" w14:textId="2C3449CD" w:rsidR="009F4DEE" w:rsidRPr="00015070" w:rsidRDefault="00217D99" w:rsidP="009F4DEE">
      <w:pPr>
        <w:spacing w:line="360" w:lineRule="auto"/>
        <w:rPr>
          <w:rFonts w:ascii="Arial" w:hAnsi="Arial" w:cs="Arial"/>
          <w:color w:val="000000"/>
          <w:sz w:val="18"/>
          <w:szCs w:val="18"/>
          <w:lang w:val="fr-CH" w:eastAsia="de-CH"/>
        </w:rPr>
      </w:pPr>
      <w:r w:rsidRPr="00217D99">
        <w:rPr>
          <w:rFonts w:ascii="Arial" w:hAnsi="Arial" w:cs="Arial"/>
          <w:color w:val="000000"/>
          <w:sz w:val="18"/>
          <w:szCs w:val="18"/>
          <w:lang w:val="fr-CH" w:eastAsia="de-CH"/>
        </w:rPr>
        <w:lastRenderedPageBreak/>
        <w:t>Photos / Légendes</w:t>
      </w:r>
    </w:p>
    <w:tbl>
      <w:tblPr>
        <w:tblStyle w:val="Tabellenraster"/>
        <w:tblW w:w="0" w:type="auto"/>
        <w:tblLook w:val="04A0" w:firstRow="1" w:lastRow="0" w:firstColumn="1" w:lastColumn="0" w:noHBand="0" w:noVBand="1"/>
      </w:tblPr>
      <w:tblGrid>
        <w:gridCol w:w="3209"/>
        <w:gridCol w:w="3209"/>
        <w:gridCol w:w="3209"/>
      </w:tblGrid>
      <w:tr w:rsidR="00CF3C91" w:rsidRPr="00462FF8" w14:paraId="2929F8AD" w14:textId="77777777">
        <w:tc>
          <w:tcPr>
            <w:tcW w:w="3209" w:type="dxa"/>
          </w:tcPr>
          <w:p w14:paraId="01A8BF8C" w14:textId="5994F74F" w:rsidR="009F4DEE" w:rsidRPr="00462FF8" w:rsidRDefault="00C23E82">
            <w:pPr>
              <w:spacing w:line="360" w:lineRule="auto"/>
              <w:rPr>
                <w:rFonts w:ascii="Arial" w:hAnsi="Arial" w:cs="Arial"/>
                <w:color w:val="000000"/>
                <w:sz w:val="18"/>
                <w:szCs w:val="18"/>
                <w:lang w:eastAsia="de-CH"/>
              </w:rPr>
            </w:pPr>
            <w:r>
              <w:rPr>
                <w:rFonts w:ascii="Arial" w:hAnsi="Arial" w:cs="Arial"/>
                <w:noProof/>
                <w:color w:val="000000"/>
                <w:sz w:val="18"/>
                <w:szCs w:val="18"/>
                <w:lang w:eastAsia="de-CH"/>
              </w:rPr>
              <w:drawing>
                <wp:anchor distT="0" distB="0" distL="114300" distR="114300" simplePos="0" relativeHeight="251658240" behindDoc="0" locked="0" layoutInCell="1" allowOverlap="1" wp14:anchorId="05F4BF6A" wp14:editId="1F47B3F9">
                  <wp:simplePos x="0" y="0"/>
                  <wp:positionH relativeFrom="column">
                    <wp:posOffset>453426</wp:posOffset>
                  </wp:positionH>
                  <wp:positionV relativeFrom="paragraph">
                    <wp:posOffset>628650</wp:posOffset>
                  </wp:positionV>
                  <wp:extent cx="1339970" cy="860316"/>
                  <wp:effectExtent l="0" t="0" r="0" b="0"/>
                  <wp:wrapNone/>
                  <wp:docPr id="18741577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597" t="8533" r="7728" b="12810"/>
                          <a:stretch/>
                        </pic:blipFill>
                        <pic:spPr bwMode="auto">
                          <a:xfrm>
                            <a:off x="0" y="0"/>
                            <a:ext cx="1339970" cy="860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4678">
              <w:rPr>
                <w:rFonts w:ascii="Arial" w:hAnsi="Arial" w:cs="Arial"/>
                <w:noProof/>
                <w:color w:val="000000"/>
                <w:sz w:val="18"/>
                <w:szCs w:val="18"/>
                <w:lang w:eastAsia="de-CH"/>
              </w:rPr>
              <w:drawing>
                <wp:inline distT="0" distB="0" distL="0" distR="0" wp14:anchorId="4A7D2512" wp14:editId="437B69CF">
                  <wp:extent cx="1116607" cy="1489495"/>
                  <wp:effectExtent l="0" t="0" r="7620" b="0"/>
                  <wp:docPr id="13521843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4795" cy="1500417"/>
                          </a:xfrm>
                          <a:prstGeom prst="rect">
                            <a:avLst/>
                          </a:prstGeom>
                          <a:noFill/>
                          <a:ln>
                            <a:noFill/>
                          </a:ln>
                        </pic:spPr>
                      </pic:pic>
                    </a:graphicData>
                  </a:graphic>
                </wp:inline>
              </w:drawing>
            </w:r>
          </w:p>
        </w:tc>
        <w:tc>
          <w:tcPr>
            <w:tcW w:w="3209" w:type="dxa"/>
          </w:tcPr>
          <w:p w14:paraId="41C912D5" w14:textId="70074112" w:rsidR="009F4DEE" w:rsidRPr="00462FF8" w:rsidRDefault="00CF3C91">
            <w:pPr>
              <w:spacing w:line="360" w:lineRule="auto"/>
              <w:rPr>
                <w:rFonts w:ascii="Arial" w:hAnsi="Arial" w:cs="Arial"/>
                <w:color w:val="000000"/>
                <w:sz w:val="18"/>
                <w:szCs w:val="18"/>
                <w:lang w:eastAsia="de-CH"/>
              </w:rPr>
            </w:pPr>
            <w:r>
              <w:rPr>
                <w:noProof/>
                <w:sz w:val="18"/>
                <w:szCs w:val="18"/>
              </w:rPr>
              <w:drawing>
                <wp:inline distT="0" distB="0" distL="0" distR="0" wp14:anchorId="27C2877E" wp14:editId="6B6E2E8E">
                  <wp:extent cx="1520302" cy="971910"/>
                  <wp:effectExtent l="0" t="0" r="3810" b="0"/>
                  <wp:docPr id="55986189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977" b="21478"/>
                          <a:stretch/>
                        </pic:blipFill>
                        <pic:spPr bwMode="auto">
                          <a:xfrm>
                            <a:off x="0" y="0"/>
                            <a:ext cx="1537695" cy="9830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9" w:type="dxa"/>
          </w:tcPr>
          <w:p w14:paraId="59E45F54" w14:textId="6F62F5F1" w:rsidR="009F4DEE" w:rsidRPr="00462FF8" w:rsidRDefault="00BB0AEB">
            <w:pPr>
              <w:spacing w:line="360" w:lineRule="auto"/>
              <w:rPr>
                <w:rFonts w:ascii="Arial" w:hAnsi="Arial" w:cs="Arial"/>
                <w:color w:val="000000"/>
                <w:sz w:val="18"/>
                <w:szCs w:val="18"/>
                <w:lang w:eastAsia="de-CH"/>
              </w:rPr>
            </w:pPr>
            <w:r>
              <w:rPr>
                <w:rFonts w:ascii="Arial" w:hAnsi="Arial" w:cs="Arial"/>
                <w:noProof/>
                <w:color w:val="000000"/>
                <w:sz w:val="18"/>
                <w:szCs w:val="18"/>
                <w:lang w:eastAsia="de-CH"/>
              </w:rPr>
              <w:drawing>
                <wp:inline distT="0" distB="0" distL="0" distR="0" wp14:anchorId="0532E7A2" wp14:editId="0FF20B56">
                  <wp:extent cx="1815894" cy="1270958"/>
                  <wp:effectExtent l="0" t="0" r="0" b="5715"/>
                  <wp:docPr id="2095418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4587" cy="1284041"/>
                          </a:xfrm>
                          <a:prstGeom prst="rect">
                            <a:avLst/>
                          </a:prstGeom>
                          <a:noFill/>
                          <a:ln>
                            <a:noFill/>
                          </a:ln>
                        </pic:spPr>
                      </pic:pic>
                    </a:graphicData>
                  </a:graphic>
                </wp:inline>
              </w:drawing>
            </w:r>
          </w:p>
        </w:tc>
      </w:tr>
      <w:tr w:rsidR="00CF3C91" w:rsidRPr="0064237D" w14:paraId="13F95431" w14:textId="77777777">
        <w:tc>
          <w:tcPr>
            <w:tcW w:w="3209" w:type="dxa"/>
          </w:tcPr>
          <w:p w14:paraId="4A35D28C" w14:textId="76135D92" w:rsidR="009F4DEE" w:rsidRPr="00906102" w:rsidRDefault="00906102" w:rsidP="00357556">
            <w:pPr>
              <w:spacing w:line="276" w:lineRule="auto"/>
              <w:rPr>
                <w:rFonts w:ascii="Arial" w:hAnsi="Arial" w:cs="Arial"/>
                <w:noProof/>
                <w:sz w:val="18"/>
                <w:szCs w:val="18"/>
                <w:lang w:val="fr-CH" w:eastAsia="de-CH"/>
              </w:rPr>
            </w:pPr>
            <w:r w:rsidRPr="00906102">
              <w:rPr>
                <w:rFonts w:ascii="Arial" w:hAnsi="Arial" w:cs="Arial"/>
                <w:noProof/>
                <w:sz w:val="18"/>
                <w:szCs w:val="18"/>
                <w:lang w:val="fr-CH" w:eastAsia="de-CH"/>
              </w:rPr>
              <w:t xml:space="preserve">Combinaison parfaite - alpha innotec Hybrox avec station hydraulique et accumulateur d'eau chaude intégré </w:t>
            </w:r>
          </w:p>
        </w:tc>
        <w:tc>
          <w:tcPr>
            <w:tcW w:w="3209" w:type="dxa"/>
          </w:tcPr>
          <w:p w14:paraId="0DDB2C90" w14:textId="739B2D05" w:rsidR="009F4DEE" w:rsidRPr="009E458A" w:rsidRDefault="009E458A" w:rsidP="00357556">
            <w:pPr>
              <w:spacing w:line="276" w:lineRule="auto"/>
              <w:rPr>
                <w:rFonts w:ascii="Arial" w:hAnsi="Arial" w:cs="Arial"/>
                <w:noProof/>
                <w:sz w:val="18"/>
                <w:szCs w:val="18"/>
                <w:lang w:val="fr-CH" w:eastAsia="de-CH"/>
              </w:rPr>
            </w:pPr>
            <w:r w:rsidRPr="009E458A">
              <w:rPr>
                <w:rFonts w:ascii="Arial" w:hAnsi="Arial" w:cs="Arial"/>
                <w:noProof/>
                <w:sz w:val="18"/>
                <w:szCs w:val="18"/>
                <w:lang w:val="fr-CH" w:eastAsia="de-CH"/>
              </w:rPr>
              <w:t>La série Hybrox - avec réfrigérant naturel R290 et régulation de la puissance</w:t>
            </w:r>
          </w:p>
        </w:tc>
        <w:tc>
          <w:tcPr>
            <w:tcW w:w="3209" w:type="dxa"/>
          </w:tcPr>
          <w:p w14:paraId="2C4952C7" w14:textId="18D37291" w:rsidR="009F4DEE" w:rsidRPr="00272897" w:rsidRDefault="00272897" w:rsidP="00357556">
            <w:pPr>
              <w:spacing w:line="276" w:lineRule="auto"/>
              <w:rPr>
                <w:rFonts w:ascii="Arial" w:hAnsi="Arial" w:cs="Arial"/>
                <w:noProof/>
                <w:sz w:val="18"/>
                <w:szCs w:val="18"/>
                <w:lang w:val="fr-CH" w:eastAsia="de-CH"/>
              </w:rPr>
            </w:pPr>
            <w:r w:rsidRPr="00272897">
              <w:rPr>
                <w:rFonts w:ascii="Arial" w:hAnsi="Arial" w:cs="Arial"/>
                <w:noProof/>
                <w:sz w:val="18"/>
                <w:szCs w:val="18"/>
                <w:lang w:val="fr-CH" w:eastAsia="de-CH"/>
              </w:rPr>
              <w:t>Chauffer plus esthétiquement - l'Hybrox d'alpha innotec convainc par son design attrayant et sa taille compacte</w:t>
            </w:r>
          </w:p>
        </w:tc>
      </w:tr>
    </w:tbl>
    <w:p w14:paraId="58DBFBBE" w14:textId="77777777" w:rsidR="002C26A2" w:rsidRPr="00272897" w:rsidRDefault="002C26A2" w:rsidP="009F4DEE">
      <w:pPr>
        <w:spacing w:line="360" w:lineRule="auto"/>
        <w:rPr>
          <w:rFonts w:ascii="Arial" w:hAnsi="Arial" w:cs="Arial"/>
          <w:color w:val="000000"/>
          <w:sz w:val="18"/>
          <w:szCs w:val="18"/>
          <w:lang w:val="fr-CH" w:eastAsia="de-CH"/>
        </w:rPr>
      </w:pPr>
    </w:p>
    <w:sectPr w:rsidR="002C26A2" w:rsidRPr="00272897" w:rsidSect="006E66F1">
      <w:headerReference w:type="default" r:id="rId15"/>
      <w:footerReference w:type="default" r:id="rId16"/>
      <w:pgSz w:w="11906" w:h="16838" w:code="9"/>
      <w:pgMar w:top="2127" w:right="851" w:bottom="156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8072" w14:textId="77777777" w:rsidR="006E66F1" w:rsidRDefault="006E66F1" w:rsidP="00595C4A">
      <w:r>
        <w:separator/>
      </w:r>
    </w:p>
  </w:endnote>
  <w:endnote w:type="continuationSeparator" w:id="0">
    <w:p w14:paraId="12EE4921" w14:textId="77777777" w:rsidR="006E66F1" w:rsidRDefault="006E66F1" w:rsidP="00595C4A">
      <w:r>
        <w:continuationSeparator/>
      </w:r>
    </w:p>
  </w:endnote>
  <w:endnote w:type="continuationNotice" w:id="1">
    <w:p w14:paraId="4F49C5AB" w14:textId="77777777" w:rsidR="006E66F1" w:rsidRDefault="006E6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ADCB" w14:textId="5EC595F6" w:rsidR="00E112D9" w:rsidRDefault="00A34CFE" w:rsidP="00085F68">
    <w:pPr>
      <w:pStyle w:val="Fuzeile"/>
      <w:tabs>
        <w:tab w:val="left" w:pos="1134"/>
        <w:tab w:val="left" w:pos="5103"/>
        <w:tab w:val="left" w:pos="6379"/>
      </w:tabs>
    </w:pPr>
    <w:r>
      <w:rPr>
        <w:noProof/>
        <w:lang w:eastAsia="de-CH"/>
      </w:rPr>
      <w:drawing>
        <wp:anchor distT="0" distB="0" distL="114300" distR="114300" simplePos="0" relativeHeight="251658241" behindDoc="1" locked="0" layoutInCell="1" allowOverlap="1" wp14:anchorId="5D16ED8F" wp14:editId="04791FD9">
          <wp:simplePos x="0" y="0"/>
          <wp:positionH relativeFrom="page">
            <wp:posOffset>17836</wp:posOffset>
          </wp:positionH>
          <wp:positionV relativeFrom="paragraph">
            <wp:posOffset>-182880</wp:posOffset>
          </wp:positionV>
          <wp:extent cx="7550622" cy="755062"/>
          <wp:effectExtent l="0" t="0" r="0" b="6985"/>
          <wp:wrapNone/>
          <wp:docPr id="1797308846" name="Grafik 179730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
                    <a:extLst>
                      <a:ext uri="{28A0092B-C50C-407E-A947-70E740481C1C}">
                        <a14:useLocalDpi xmlns:a14="http://schemas.microsoft.com/office/drawing/2010/main" val="0"/>
                      </a:ext>
                    </a:extLst>
                  </a:blip>
                  <a:stretch>
                    <a:fillRect/>
                  </a:stretch>
                </pic:blipFill>
                <pic:spPr>
                  <a:xfrm>
                    <a:off x="0" y="0"/>
                    <a:ext cx="7550622" cy="7550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132D" w14:textId="77777777" w:rsidR="006E66F1" w:rsidRDefault="006E66F1" w:rsidP="00595C4A">
      <w:r>
        <w:separator/>
      </w:r>
    </w:p>
  </w:footnote>
  <w:footnote w:type="continuationSeparator" w:id="0">
    <w:p w14:paraId="324E04E4" w14:textId="77777777" w:rsidR="006E66F1" w:rsidRDefault="006E66F1" w:rsidP="00595C4A">
      <w:r>
        <w:continuationSeparator/>
      </w:r>
    </w:p>
  </w:footnote>
  <w:footnote w:type="continuationNotice" w:id="1">
    <w:p w14:paraId="0778A748" w14:textId="77777777" w:rsidR="006E66F1" w:rsidRDefault="006E6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5E7F" w14:textId="1EC1D183" w:rsidR="00E112D9" w:rsidRDefault="00B40EB1" w:rsidP="00A17ADE">
    <w:pPr>
      <w:pStyle w:val="Kopfzeile"/>
      <w:tabs>
        <w:tab w:val="left" w:pos="1134"/>
        <w:tab w:val="left" w:pos="5316"/>
        <w:tab w:val="left" w:pos="7655"/>
      </w:tabs>
    </w:pPr>
    <w:r>
      <w:rPr>
        <w:noProof/>
        <w:lang w:eastAsia="de-CH"/>
      </w:rPr>
      <w:drawing>
        <wp:anchor distT="0" distB="0" distL="114300" distR="114300" simplePos="0" relativeHeight="251658240" behindDoc="1" locked="0" layoutInCell="1" allowOverlap="1" wp14:anchorId="05188C3F" wp14:editId="68D3BCF4">
          <wp:simplePos x="0" y="0"/>
          <wp:positionH relativeFrom="column">
            <wp:posOffset>-882595</wp:posOffset>
          </wp:positionH>
          <wp:positionV relativeFrom="paragraph">
            <wp:posOffset>0</wp:posOffset>
          </wp:positionV>
          <wp:extent cx="7560000" cy="1080000"/>
          <wp:effectExtent l="0" t="0" r="0" b="6350"/>
          <wp:wrapNone/>
          <wp:docPr id="1383072552" name="Grafik 138307255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p w14:paraId="7B191F93" w14:textId="6F68B3AC" w:rsidR="00E112D9" w:rsidRDefault="00E112D9" w:rsidP="00A17ADE">
    <w:pPr>
      <w:pStyle w:val="Kopfzeile"/>
      <w:tabs>
        <w:tab w:val="clear" w:pos="9072"/>
        <w:tab w:val="left" w:pos="1134"/>
        <w:tab w:val="left" w:pos="4962"/>
        <w:tab w:val="left" w:pos="5316"/>
        <w:tab w:val="left" w:pos="6521"/>
        <w:tab w:val="left" w:pos="8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951"/>
    <w:multiLevelType w:val="hybridMultilevel"/>
    <w:tmpl w:val="FB34A7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9690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2A6"/>
    <w:rsid w:val="000012D7"/>
    <w:rsid w:val="000024C5"/>
    <w:rsid w:val="0000341C"/>
    <w:rsid w:val="000067E2"/>
    <w:rsid w:val="00015070"/>
    <w:rsid w:val="0003367C"/>
    <w:rsid w:val="00037472"/>
    <w:rsid w:val="00037A6F"/>
    <w:rsid w:val="00040029"/>
    <w:rsid w:val="00045BEC"/>
    <w:rsid w:val="00046D03"/>
    <w:rsid w:val="00046D59"/>
    <w:rsid w:val="00063066"/>
    <w:rsid w:val="00067ACF"/>
    <w:rsid w:val="000727AD"/>
    <w:rsid w:val="00082129"/>
    <w:rsid w:val="00082653"/>
    <w:rsid w:val="00085F68"/>
    <w:rsid w:val="00086964"/>
    <w:rsid w:val="00091C67"/>
    <w:rsid w:val="000963DC"/>
    <w:rsid w:val="000B1FDA"/>
    <w:rsid w:val="000B2616"/>
    <w:rsid w:val="000C01AA"/>
    <w:rsid w:val="000C1735"/>
    <w:rsid w:val="000C54CE"/>
    <w:rsid w:val="000D05F6"/>
    <w:rsid w:val="000D5428"/>
    <w:rsid w:val="000D6109"/>
    <w:rsid w:val="000E2465"/>
    <w:rsid w:val="000E4F92"/>
    <w:rsid w:val="000E5369"/>
    <w:rsid w:val="000F7875"/>
    <w:rsid w:val="001023F8"/>
    <w:rsid w:val="00106B8F"/>
    <w:rsid w:val="00107D3D"/>
    <w:rsid w:val="00110966"/>
    <w:rsid w:val="00111D66"/>
    <w:rsid w:val="0011685F"/>
    <w:rsid w:val="00117AF7"/>
    <w:rsid w:val="001249D1"/>
    <w:rsid w:val="00126F3A"/>
    <w:rsid w:val="00131003"/>
    <w:rsid w:val="00133354"/>
    <w:rsid w:val="001338A4"/>
    <w:rsid w:val="00134B0D"/>
    <w:rsid w:val="00136359"/>
    <w:rsid w:val="001366F4"/>
    <w:rsid w:val="00142118"/>
    <w:rsid w:val="0015468B"/>
    <w:rsid w:val="00155E80"/>
    <w:rsid w:val="0015686E"/>
    <w:rsid w:val="001652AE"/>
    <w:rsid w:val="00165778"/>
    <w:rsid w:val="001720F3"/>
    <w:rsid w:val="0017779E"/>
    <w:rsid w:val="00180E21"/>
    <w:rsid w:val="00182BF8"/>
    <w:rsid w:val="00185E78"/>
    <w:rsid w:val="00194817"/>
    <w:rsid w:val="001A5465"/>
    <w:rsid w:val="001B1657"/>
    <w:rsid w:val="001B4EBF"/>
    <w:rsid w:val="001B51C1"/>
    <w:rsid w:val="001D32C5"/>
    <w:rsid w:val="001E4421"/>
    <w:rsid w:val="001E4787"/>
    <w:rsid w:val="001F1A19"/>
    <w:rsid w:val="001F7C95"/>
    <w:rsid w:val="00217AC9"/>
    <w:rsid w:val="00217D99"/>
    <w:rsid w:val="00225D1F"/>
    <w:rsid w:val="002343E7"/>
    <w:rsid w:val="0023649B"/>
    <w:rsid w:val="00243167"/>
    <w:rsid w:val="0025007A"/>
    <w:rsid w:val="002600EF"/>
    <w:rsid w:val="0026078D"/>
    <w:rsid w:val="00267FD4"/>
    <w:rsid w:val="00272897"/>
    <w:rsid w:val="0027720D"/>
    <w:rsid w:val="00292B8D"/>
    <w:rsid w:val="002A25F1"/>
    <w:rsid w:val="002A60D5"/>
    <w:rsid w:val="002A628B"/>
    <w:rsid w:val="002B241B"/>
    <w:rsid w:val="002C26A2"/>
    <w:rsid w:val="002C2C62"/>
    <w:rsid w:val="002C6C92"/>
    <w:rsid w:val="002D1044"/>
    <w:rsid w:val="002D3B09"/>
    <w:rsid w:val="002E3F65"/>
    <w:rsid w:val="002E6593"/>
    <w:rsid w:val="002F0100"/>
    <w:rsid w:val="002F4655"/>
    <w:rsid w:val="002F6157"/>
    <w:rsid w:val="00301451"/>
    <w:rsid w:val="00301EE3"/>
    <w:rsid w:val="003037AC"/>
    <w:rsid w:val="00311CE4"/>
    <w:rsid w:val="00312D2E"/>
    <w:rsid w:val="00320179"/>
    <w:rsid w:val="00322B53"/>
    <w:rsid w:val="00333F71"/>
    <w:rsid w:val="00334919"/>
    <w:rsid w:val="00340065"/>
    <w:rsid w:val="00341CA5"/>
    <w:rsid w:val="003445C2"/>
    <w:rsid w:val="00345F8D"/>
    <w:rsid w:val="00347C61"/>
    <w:rsid w:val="0035126A"/>
    <w:rsid w:val="00354F1A"/>
    <w:rsid w:val="00355DCA"/>
    <w:rsid w:val="00357556"/>
    <w:rsid w:val="003633BC"/>
    <w:rsid w:val="003642AE"/>
    <w:rsid w:val="00364BD1"/>
    <w:rsid w:val="003663B9"/>
    <w:rsid w:val="00375CAD"/>
    <w:rsid w:val="00380186"/>
    <w:rsid w:val="00393074"/>
    <w:rsid w:val="00394678"/>
    <w:rsid w:val="003968FE"/>
    <w:rsid w:val="003A7090"/>
    <w:rsid w:val="003A7D6B"/>
    <w:rsid w:val="003B6CC9"/>
    <w:rsid w:val="003C3498"/>
    <w:rsid w:val="003C5271"/>
    <w:rsid w:val="003C6D40"/>
    <w:rsid w:val="003D0B74"/>
    <w:rsid w:val="003D6B8F"/>
    <w:rsid w:val="00401EAC"/>
    <w:rsid w:val="00404203"/>
    <w:rsid w:val="004131A2"/>
    <w:rsid w:val="0041340A"/>
    <w:rsid w:val="00413DB9"/>
    <w:rsid w:val="004314BF"/>
    <w:rsid w:val="00431C78"/>
    <w:rsid w:val="004355D6"/>
    <w:rsid w:val="00437861"/>
    <w:rsid w:val="00441946"/>
    <w:rsid w:val="00441E94"/>
    <w:rsid w:val="00442300"/>
    <w:rsid w:val="00451E56"/>
    <w:rsid w:val="00454049"/>
    <w:rsid w:val="00460A14"/>
    <w:rsid w:val="004624C8"/>
    <w:rsid w:val="00462FF8"/>
    <w:rsid w:val="004647AD"/>
    <w:rsid w:val="0047238D"/>
    <w:rsid w:val="004726DD"/>
    <w:rsid w:val="00473E33"/>
    <w:rsid w:val="00476ADF"/>
    <w:rsid w:val="00482109"/>
    <w:rsid w:val="00485206"/>
    <w:rsid w:val="00485511"/>
    <w:rsid w:val="00493631"/>
    <w:rsid w:val="004A30AB"/>
    <w:rsid w:val="004A3FB5"/>
    <w:rsid w:val="004B12BE"/>
    <w:rsid w:val="004B183E"/>
    <w:rsid w:val="004C2592"/>
    <w:rsid w:val="004C74DF"/>
    <w:rsid w:val="004D36BA"/>
    <w:rsid w:val="004D49A5"/>
    <w:rsid w:val="004D7137"/>
    <w:rsid w:val="005030D4"/>
    <w:rsid w:val="005129BE"/>
    <w:rsid w:val="00513DD7"/>
    <w:rsid w:val="0051682A"/>
    <w:rsid w:val="00517FC9"/>
    <w:rsid w:val="005235F1"/>
    <w:rsid w:val="005312E4"/>
    <w:rsid w:val="00532129"/>
    <w:rsid w:val="005363E2"/>
    <w:rsid w:val="00543BD7"/>
    <w:rsid w:val="00546FCE"/>
    <w:rsid w:val="00552B79"/>
    <w:rsid w:val="00560E95"/>
    <w:rsid w:val="0056291B"/>
    <w:rsid w:val="00565E1E"/>
    <w:rsid w:val="005676D8"/>
    <w:rsid w:val="00583C40"/>
    <w:rsid w:val="005918D7"/>
    <w:rsid w:val="005919C1"/>
    <w:rsid w:val="005923E3"/>
    <w:rsid w:val="00593C0D"/>
    <w:rsid w:val="005942C0"/>
    <w:rsid w:val="00595C4A"/>
    <w:rsid w:val="00596A09"/>
    <w:rsid w:val="00596F7C"/>
    <w:rsid w:val="005A433F"/>
    <w:rsid w:val="005B4636"/>
    <w:rsid w:val="005C4F71"/>
    <w:rsid w:val="005E29B1"/>
    <w:rsid w:val="005E2F5A"/>
    <w:rsid w:val="005E5413"/>
    <w:rsid w:val="005E6C42"/>
    <w:rsid w:val="005F4325"/>
    <w:rsid w:val="00603714"/>
    <w:rsid w:val="00606D2D"/>
    <w:rsid w:val="00611374"/>
    <w:rsid w:val="00620842"/>
    <w:rsid w:val="0063442F"/>
    <w:rsid w:val="0063622F"/>
    <w:rsid w:val="00636FD4"/>
    <w:rsid w:val="0064118E"/>
    <w:rsid w:val="0064237D"/>
    <w:rsid w:val="00657D87"/>
    <w:rsid w:val="006617DE"/>
    <w:rsid w:val="00665270"/>
    <w:rsid w:val="00665C11"/>
    <w:rsid w:val="00666FF6"/>
    <w:rsid w:val="00673E13"/>
    <w:rsid w:val="006810C7"/>
    <w:rsid w:val="006827CD"/>
    <w:rsid w:val="006838FE"/>
    <w:rsid w:val="00684483"/>
    <w:rsid w:val="00691771"/>
    <w:rsid w:val="006A092E"/>
    <w:rsid w:val="006A2752"/>
    <w:rsid w:val="006B1DDA"/>
    <w:rsid w:val="006B2C21"/>
    <w:rsid w:val="006B33E5"/>
    <w:rsid w:val="006C3871"/>
    <w:rsid w:val="006C4125"/>
    <w:rsid w:val="006C5889"/>
    <w:rsid w:val="006C5D8B"/>
    <w:rsid w:val="006D0416"/>
    <w:rsid w:val="006D6AB4"/>
    <w:rsid w:val="006E2E61"/>
    <w:rsid w:val="006E4478"/>
    <w:rsid w:val="006E66F1"/>
    <w:rsid w:val="006E711B"/>
    <w:rsid w:val="00701C00"/>
    <w:rsid w:val="00706137"/>
    <w:rsid w:val="007076E3"/>
    <w:rsid w:val="00713709"/>
    <w:rsid w:val="007161B9"/>
    <w:rsid w:val="007230EE"/>
    <w:rsid w:val="00723E46"/>
    <w:rsid w:val="00724A3B"/>
    <w:rsid w:val="00726AD9"/>
    <w:rsid w:val="00731D20"/>
    <w:rsid w:val="007348EB"/>
    <w:rsid w:val="0074351C"/>
    <w:rsid w:val="00743A9D"/>
    <w:rsid w:val="00755C63"/>
    <w:rsid w:val="007677E3"/>
    <w:rsid w:val="00773D69"/>
    <w:rsid w:val="007809CB"/>
    <w:rsid w:val="00780F9E"/>
    <w:rsid w:val="007821F7"/>
    <w:rsid w:val="00784E11"/>
    <w:rsid w:val="00785BC8"/>
    <w:rsid w:val="00790F4A"/>
    <w:rsid w:val="00791250"/>
    <w:rsid w:val="007922A3"/>
    <w:rsid w:val="00795E2E"/>
    <w:rsid w:val="007964EF"/>
    <w:rsid w:val="00796B50"/>
    <w:rsid w:val="00797C0B"/>
    <w:rsid w:val="007A07A0"/>
    <w:rsid w:val="007A45CA"/>
    <w:rsid w:val="007A672F"/>
    <w:rsid w:val="007B0DAD"/>
    <w:rsid w:val="007C0346"/>
    <w:rsid w:val="007C51BC"/>
    <w:rsid w:val="007C615F"/>
    <w:rsid w:val="007C7CC0"/>
    <w:rsid w:val="007D01F6"/>
    <w:rsid w:val="007D1903"/>
    <w:rsid w:val="007D6BCC"/>
    <w:rsid w:val="007E3BBF"/>
    <w:rsid w:val="007E3FDA"/>
    <w:rsid w:val="007E6F5C"/>
    <w:rsid w:val="007F2FE4"/>
    <w:rsid w:val="007F3DC7"/>
    <w:rsid w:val="007F5565"/>
    <w:rsid w:val="007F63DA"/>
    <w:rsid w:val="008045CA"/>
    <w:rsid w:val="008134CD"/>
    <w:rsid w:val="00814A61"/>
    <w:rsid w:val="0081698C"/>
    <w:rsid w:val="00821622"/>
    <w:rsid w:val="0083209D"/>
    <w:rsid w:val="00837B9D"/>
    <w:rsid w:val="00837EE5"/>
    <w:rsid w:val="00842F37"/>
    <w:rsid w:val="00846692"/>
    <w:rsid w:val="00861964"/>
    <w:rsid w:val="0087249F"/>
    <w:rsid w:val="00873392"/>
    <w:rsid w:val="00874D34"/>
    <w:rsid w:val="0089006A"/>
    <w:rsid w:val="008943F5"/>
    <w:rsid w:val="008975AB"/>
    <w:rsid w:val="008A57A4"/>
    <w:rsid w:val="008B25B0"/>
    <w:rsid w:val="008B2BE8"/>
    <w:rsid w:val="008B3249"/>
    <w:rsid w:val="008B60C2"/>
    <w:rsid w:val="008B7136"/>
    <w:rsid w:val="008C490E"/>
    <w:rsid w:val="008C4D25"/>
    <w:rsid w:val="008C5774"/>
    <w:rsid w:val="008D041B"/>
    <w:rsid w:val="008D4D81"/>
    <w:rsid w:val="008E0FAF"/>
    <w:rsid w:val="008E38A5"/>
    <w:rsid w:val="008F21DD"/>
    <w:rsid w:val="008F44AD"/>
    <w:rsid w:val="008F71B0"/>
    <w:rsid w:val="00906102"/>
    <w:rsid w:val="00922B19"/>
    <w:rsid w:val="009232D8"/>
    <w:rsid w:val="00937907"/>
    <w:rsid w:val="00941F0D"/>
    <w:rsid w:val="009439B1"/>
    <w:rsid w:val="00947062"/>
    <w:rsid w:val="0095716C"/>
    <w:rsid w:val="009630E0"/>
    <w:rsid w:val="00966510"/>
    <w:rsid w:val="00966E62"/>
    <w:rsid w:val="00972334"/>
    <w:rsid w:val="00984B78"/>
    <w:rsid w:val="0098512D"/>
    <w:rsid w:val="0099784A"/>
    <w:rsid w:val="009A6E9C"/>
    <w:rsid w:val="009A7C47"/>
    <w:rsid w:val="009B4B60"/>
    <w:rsid w:val="009B514C"/>
    <w:rsid w:val="009B5A38"/>
    <w:rsid w:val="009C4C23"/>
    <w:rsid w:val="009C7CBF"/>
    <w:rsid w:val="009D0A64"/>
    <w:rsid w:val="009E2A2D"/>
    <w:rsid w:val="009E458A"/>
    <w:rsid w:val="009E67EC"/>
    <w:rsid w:val="009E6C39"/>
    <w:rsid w:val="009F0D8A"/>
    <w:rsid w:val="009F3D2D"/>
    <w:rsid w:val="009F4C7F"/>
    <w:rsid w:val="009F4DEE"/>
    <w:rsid w:val="00A048CF"/>
    <w:rsid w:val="00A0604F"/>
    <w:rsid w:val="00A07251"/>
    <w:rsid w:val="00A0773F"/>
    <w:rsid w:val="00A1331D"/>
    <w:rsid w:val="00A134E5"/>
    <w:rsid w:val="00A135ED"/>
    <w:rsid w:val="00A17A11"/>
    <w:rsid w:val="00A17ADE"/>
    <w:rsid w:val="00A25B63"/>
    <w:rsid w:val="00A26072"/>
    <w:rsid w:val="00A30C73"/>
    <w:rsid w:val="00A3302C"/>
    <w:rsid w:val="00A33D4B"/>
    <w:rsid w:val="00A34CFE"/>
    <w:rsid w:val="00A359FD"/>
    <w:rsid w:val="00A4010B"/>
    <w:rsid w:val="00A4515F"/>
    <w:rsid w:val="00A50CD1"/>
    <w:rsid w:val="00A627B8"/>
    <w:rsid w:val="00A66D23"/>
    <w:rsid w:val="00A71BCC"/>
    <w:rsid w:val="00A73ECF"/>
    <w:rsid w:val="00A96F5C"/>
    <w:rsid w:val="00A97C3B"/>
    <w:rsid w:val="00AB2DCB"/>
    <w:rsid w:val="00AC7007"/>
    <w:rsid w:val="00AC7C0A"/>
    <w:rsid w:val="00AD55C0"/>
    <w:rsid w:val="00AD7286"/>
    <w:rsid w:val="00AE2D4F"/>
    <w:rsid w:val="00AE4141"/>
    <w:rsid w:val="00AF0C1E"/>
    <w:rsid w:val="00AF1A10"/>
    <w:rsid w:val="00AF56D6"/>
    <w:rsid w:val="00AF66A6"/>
    <w:rsid w:val="00B25A15"/>
    <w:rsid w:val="00B25C21"/>
    <w:rsid w:val="00B309A0"/>
    <w:rsid w:val="00B33241"/>
    <w:rsid w:val="00B40EB1"/>
    <w:rsid w:val="00B44013"/>
    <w:rsid w:val="00B51977"/>
    <w:rsid w:val="00B54D18"/>
    <w:rsid w:val="00B715FD"/>
    <w:rsid w:val="00B917C5"/>
    <w:rsid w:val="00BA4D88"/>
    <w:rsid w:val="00BB0AEB"/>
    <w:rsid w:val="00BB38DD"/>
    <w:rsid w:val="00BB58AF"/>
    <w:rsid w:val="00BC0E1C"/>
    <w:rsid w:val="00BC1E49"/>
    <w:rsid w:val="00BD5CBE"/>
    <w:rsid w:val="00BE253E"/>
    <w:rsid w:val="00BE3C18"/>
    <w:rsid w:val="00BE4A5E"/>
    <w:rsid w:val="00BE6633"/>
    <w:rsid w:val="00BE6705"/>
    <w:rsid w:val="00BF2286"/>
    <w:rsid w:val="00BF26B6"/>
    <w:rsid w:val="00BF575C"/>
    <w:rsid w:val="00C00568"/>
    <w:rsid w:val="00C029D7"/>
    <w:rsid w:val="00C042B5"/>
    <w:rsid w:val="00C069D9"/>
    <w:rsid w:val="00C07FF0"/>
    <w:rsid w:val="00C23E82"/>
    <w:rsid w:val="00C256BE"/>
    <w:rsid w:val="00C262FE"/>
    <w:rsid w:val="00C4130B"/>
    <w:rsid w:val="00C41648"/>
    <w:rsid w:val="00C421E1"/>
    <w:rsid w:val="00C453EA"/>
    <w:rsid w:val="00C5068C"/>
    <w:rsid w:val="00C52DED"/>
    <w:rsid w:val="00C622A6"/>
    <w:rsid w:val="00C71CDA"/>
    <w:rsid w:val="00C76297"/>
    <w:rsid w:val="00C8651C"/>
    <w:rsid w:val="00C94241"/>
    <w:rsid w:val="00C97302"/>
    <w:rsid w:val="00CA3751"/>
    <w:rsid w:val="00CA3FF8"/>
    <w:rsid w:val="00CB2E00"/>
    <w:rsid w:val="00CC00A1"/>
    <w:rsid w:val="00CC1448"/>
    <w:rsid w:val="00CD39BB"/>
    <w:rsid w:val="00CD5E66"/>
    <w:rsid w:val="00CE6CB2"/>
    <w:rsid w:val="00CF047A"/>
    <w:rsid w:val="00CF3C91"/>
    <w:rsid w:val="00CF6DA3"/>
    <w:rsid w:val="00D00BB0"/>
    <w:rsid w:val="00D07FA3"/>
    <w:rsid w:val="00D1247F"/>
    <w:rsid w:val="00D140A7"/>
    <w:rsid w:val="00D20F24"/>
    <w:rsid w:val="00D263BE"/>
    <w:rsid w:val="00D266B3"/>
    <w:rsid w:val="00D3282B"/>
    <w:rsid w:val="00D32993"/>
    <w:rsid w:val="00D33068"/>
    <w:rsid w:val="00D462B1"/>
    <w:rsid w:val="00D46F33"/>
    <w:rsid w:val="00D53A1E"/>
    <w:rsid w:val="00D7104B"/>
    <w:rsid w:val="00D73D92"/>
    <w:rsid w:val="00D74953"/>
    <w:rsid w:val="00D81F67"/>
    <w:rsid w:val="00D90650"/>
    <w:rsid w:val="00D91C8E"/>
    <w:rsid w:val="00DA2A11"/>
    <w:rsid w:val="00DA6556"/>
    <w:rsid w:val="00DA7C83"/>
    <w:rsid w:val="00DB1636"/>
    <w:rsid w:val="00DB22A4"/>
    <w:rsid w:val="00DB24C9"/>
    <w:rsid w:val="00DB6F1B"/>
    <w:rsid w:val="00DB753C"/>
    <w:rsid w:val="00DC271B"/>
    <w:rsid w:val="00DC3432"/>
    <w:rsid w:val="00DD1B0A"/>
    <w:rsid w:val="00DD43E4"/>
    <w:rsid w:val="00DE0923"/>
    <w:rsid w:val="00DF66FE"/>
    <w:rsid w:val="00E047B6"/>
    <w:rsid w:val="00E07AF1"/>
    <w:rsid w:val="00E112BD"/>
    <w:rsid w:val="00E112D9"/>
    <w:rsid w:val="00E21A4F"/>
    <w:rsid w:val="00E24171"/>
    <w:rsid w:val="00E40446"/>
    <w:rsid w:val="00E40DFA"/>
    <w:rsid w:val="00E41973"/>
    <w:rsid w:val="00E4303A"/>
    <w:rsid w:val="00E50A1B"/>
    <w:rsid w:val="00E511B6"/>
    <w:rsid w:val="00E52489"/>
    <w:rsid w:val="00E565F5"/>
    <w:rsid w:val="00E57DDE"/>
    <w:rsid w:val="00E60890"/>
    <w:rsid w:val="00E62CCA"/>
    <w:rsid w:val="00E63A25"/>
    <w:rsid w:val="00E67284"/>
    <w:rsid w:val="00E71595"/>
    <w:rsid w:val="00E73ADF"/>
    <w:rsid w:val="00E80E93"/>
    <w:rsid w:val="00E828AC"/>
    <w:rsid w:val="00E834E7"/>
    <w:rsid w:val="00E874E9"/>
    <w:rsid w:val="00E91B15"/>
    <w:rsid w:val="00E93853"/>
    <w:rsid w:val="00E966EF"/>
    <w:rsid w:val="00EA3297"/>
    <w:rsid w:val="00EA453D"/>
    <w:rsid w:val="00EA5737"/>
    <w:rsid w:val="00EA7089"/>
    <w:rsid w:val="00EB098A"/>
    <w:rsid w:val="00EB3ADA"/>
    <w:rsid w:val="00EC2BBF"/>
    <w:rsid w:val="00EE18A3"/>
    <w:rsid w:val="00EE4086"/>
    <w:rsid w:val="00EE68C1"/>
    <w:rsid w:val="00EF04EE"/>
    <w:rsid w:val="00EF1E65"/>
    <w:rsid w:val="00F0019B"/>
    <w:rsid w:val="00F12E7E"/>
    <w:rsid w:val="00F16FCD"/>
    <w:rsid w:val="00F21F04"/>
    <w:rsid w:val="00F3185C"/>
    <w:rsid w:val="00F33083"/>
    <w:rsid w:val="00F54BCA"/>
    <w:rsid w:val="00F55868"/>
    <w:rsid w:val="00F56C5A"/>
    <w:rsid w:val="00F57A4B"/>
    <w:rsid w:val="00F62475"/>
    <w:rsid w:val="00F631E9"/>
    <w:rsid w:val="00F7400A"/>
    <w:rsid w:val="00F94925"/>
    <w:rsid w:val="00F94A75"/>
    <w:rsid w:val="00FA4E2B"/>
    <w:rsid w:val="00FA72EB"/>
    <w:rsid w:val="00FA79EA"/>
    <w:rsid w:val="00FC4E8D"/>
    <w:rsid w:val="00FD1AE5"/>
    <w:rsid w:val="00FE29B2"/>
    <w:rsid w:val="00FE6A9C"/>
    <w:rsid w:val="00FF15FE"/>
    <w:rsid w:val="00FF185E"/>
    <w:rsid w:val="00FF1B86"/>
    <w:rsid w:val="00FF276E"/>
    <w:rsid w:val="00FF5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54942"/>
  <w15:docId w15:val="{5DBE4174-04ED-40EC-8338-A16D9296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rial"/>
    <w:qFormat/>
    <w:rsid w:val="00C622A6"/>
    <w:pPr>
      <w:autoSpaceDE w:val="0"/>
      <w:autoSpaceDN w:val="0"/>
    </w:pPr>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5C4A"/>
    <w:pPr>
      <w:tabs>
        <w:tab w:val="center" w:pos="4536"/>
        <w:tab w:val="right" w:pos="9072"/>
      </w:tabs>
    </w:pPr>
  </w:style>
  <w:style w:type="character" w:customStyle="1" w:styleId="KopfzeileZchn">
    <w:name w:val="Kopfzeile Zchn"/>
    <w:basedOn w:val="Absatz-Standardschriftart"/>
    <w:link w:val="Kopfzeile"/>
    <w:uiPriority w:val="99"/>
    <w:rsid w:val="00595C4A"/>
  </w:style>
  <w:style w:type="paragraph" w:styleId="Fuzeile">
    <w:name w:val="footer"/>
    <w:basedOn w:val="Standard"/>
    <w:link w:val="FuzeileZchn"/>
    <w:uiPriority w:val="99"/>
    <w:unhideWhenUsed/>
    <w:rsid w:val="00595C4A"/>
    <w:pPr>
      <w:tabs>
        <w:tab w:val="center" w:pos="4536"/>
        <w:tab w:val="right" w:pos="9072"/>
      </w:tabs>
    </w:pPr>
  </w:style>
  <w:style w:type="character" w:customStyle="1" w:styleId="FuzeileZchn">
    <w:name w:val="Fußzeile Zchn"/>
    <w:basedOn w:val="Absatz-Standardschriftart"/>
    <w:link w:val="Fuzeile"/>
    <w:uiPriority w:val="99"/>
    <w:rsid w:val="00595C4A"/>
  </w:style>
  <w:style w:type="paragraph" w:styleId="Sprechblasentext">
    <w:name w:val="Balloon Text"/>
    <w:basedOn w:val="Standard"/>
    <w:link w:val="SprechblasentextZchn"/>
    <w:uiPriority w:val="99"/>
    <w:semiHidden/>
    <w:unhideWhenUsed/>
    <w:rsid w:val="00595C4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C4A"/>
    <w:rPr>
      <w:rFonts w:ascii="Tahoma" w:hAnsi="Tahoma" w:cs="Tahoma"/>
      <w:sz w:val="16"/>
      <w:szCs w:val="16"/>
    </w:rPr>
  </w:style>
  <w:style w:type="character" w:styleId="Hyperlink">
    <w:name w:val="Hyperlink"/>
    <w:basedOn w:val="Absatz-Standardschriftart"/>
    <w:uiPriority w:val="99"/>
    <w:unhideWhenUsed/>
    <w:rsid w:val="00355DCA"/>
    <w:rPr>
      <w:color w:val="0000FF"/>
      <w:u w:val="single"/>
    </w:rPr>
  </w:style>
  <w:style w:type="paragraph" w:customStyle="1" w:styleId="Closingsalutation">
    <w:name w:val="Closing salutation"/>
    <w:basedOn w:val="Standard"/>
    <w:rsid w:val="00C76297"/>
    <w:pPr>
      <w:spacing w:line="260" w:lineRule="atLeast"/>
    </w:pPr>
    <w:rPr>
      <w:rFonts w:ascii="Arial" w:eastAsia="Times" w:hAnsi="Arial"/>
      <w:lang w:eastAsia="de-CH"/>
    </w:rPr>
  </w:style>
  <w:style w:type="table" w:styleId="Tabellenraster">
    <w:name w:val="Table Grid"/>
    <w:basedOn w:val="NormaleTabelle"/>
    <w:uiPriority w:val="59"/>
    <w:rsid w:val="00C762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semiHidden/>
    <w:rsid w:val="0017779E"/>
    <w:pPr>
      <w:tabs>
        <w:tab w:val="left" w:pos="5103"/>
      </w:tabs>
    </w:pPr>
    <w:rPr>
      <w:rFonts w:ascii="Arial" w:hAnsi="Arial" w:cs="Arial"/>
      <w:sz w:val="24"/>
    </w:rPr>
  </w:style>
  <w:style w:type="character" w:customStyle="1" w:styleId="TextkrperZchn">
    <w:name w:val="Textkörper Zchn"/>
    <w:basedOn w:val="Absatz-Standardschriftart"/>
    <w:link w:val="Textkrper"/>
    <w:semiHidden/>
    <w:rsid w:val="0017779E"/>
    <w:rPr>
      <w:rFonts w:ascii="Arial" w:eastAsia="Times New Roman" w:hAnsi="Arial" w:cs="Arial"/>
      <w:sz w:val="24"/>
      <w:lang w:val="de-DE" w:eastAsia="de-DE"/>
    </w:rPr>
  </w:style>
  <w:style w:type="paragraph" w:styleId="Dokumentstruktur">
    <w:name w:val="Document Map"/>
    <w:basedOn w:val="Standard"/>
    <w:link w:val="DokumentstrukturZchn"/>
    <w:uiPriority w:val="99"/>
    <w:semiHidden/>
    <w:unhideWhenUsed/>
    <w:rsid w:val="007D6BC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D6BCC"/>
    <w:rPr>
      <w:rFonts w:ascii="Tahoma" w:hAnsi="Tahoma" w:cs="Tahoma"/>
      <w:sz w:val="16"/>
      <w:szCs w:val="16"/>
      <w:lang w:val="de-CH" w:eastAsia="en-US"/>
    </w:rPr>
  </w:style>
  <w:style w:type="character" w:styleId="Platzhaltertext">
    <w:name w:val="Placeholder Text"/>
    <w:basedOn w:val="Absatz-Standardschriftart"/>
    <w:uiPriority w:val="99"/>
    <w:semiHidden/>
    <w:rsid w:val="00046D59"/>
    <w:rPr>
      <w:color w:val="808080"/>
    </w:rPr>
  </w:style>
  <w:style w:type="character" w:styleId="Fett">
    <w:name w:val="Strong"/>
    <w:basedOn w:val="Absatz-Standardschriftart"/>
    <w:uiPriority w:val="22"/>
    <w:qFormat/>
    <w:rsid w:val="00A134E5"/>
    <w:rPr>
      <w:b/>
      <w:bCs/>
    </w:rPr>
  </w:style>
  <w:style w:type="paragraph" w:styleId="KeinLeerraum">
    <w:name w:val="No Spacing"/>
    <w:uiPriority w:val="1"/>
    <w:qFormat/>
    <w:rsid w:val="00E828AC"/>
    <w:rPr>
      <w:sz w:val="22"/>
      <w:szCs w:val="22"/>
      <w:lang w:val="de-CH" w:eastAsia="en-US"/>
    </w:rPr>
  </w:style>
  <w:style w:type="paragraph" w:styleId="Listenabsatz">
    <w:name w:val="List Paragraph"/>
    <w:basedOn w:val="Standard"/>
    <w:uiPriority w:val="34"/>
    <w:qFormat/>
    <w:rsid w:val="00FA79EA"/>
    <w:pPr>
      <w:ind w:left="720"/>
      <w:contextualSpacing/>
    </w:pPr>
  </w:style>
  <w:style w:type="paragraph" w:customStyle="1" w:styleId="Default">
    <w:name w:val="Default"/>
    <w:rsid w:val="00C622A6"/>
    <w:pPr>
      <w:autoSpaceDE w:val="0"/>
      <w:autoSpaceDN w:val="0"/>
      <w:adjustRightInd w:val="0"/>
    </w:pPr>
    <w:rPr>
      <w:rFonts w:ascii="Arial" w:eastAsia="Times New Roman" w:hAnsi="Arial" w:cs="Arial"/>
      <w:color w:val="000000"/>
      <w:sz w:val="24"/>
      <w:szCs w:val="24"/>
      <w:lang w:val="de-CH" w:eastAsia="de-CH"/>
    </w:rPr>
  </w:style>
  <w:style w:type="character" w:styleId="Kommentarzeichen">
    <w:name w:val="annotation reference"/>
    <w:basedOn w:val="Absatz-Standardschriftart"/>
    <w:uiPriority w:val="99"/>
    <w:semiHidden/>
    <w:unhideWhenUsed/>
    <w:rsid w:val="00791250"/>
    <w:rPr>
      <w:sz w:val="16"/>
      <w:szCs w:val="16"/>
    </w:rPr>
  </w:style>
  <w:style w:type="paragraph" w:styleId="Kommentartext">
    <w:name w:val="annotation text"/>
    <w:basedOn w:val="Standard"/>
    <w:link w:val="KommentartextZchn"/>
    <w:uiPriority w:val="99"/>
    <w:unhideWhenUsed/>
    <w:rsid w:val="00791250"/>
  </w:style>
  <w:style w:type="character" w:customStyle="1" w:styleId="KommentartextZchn">
    <w:name w:val="Kommentartext Zchn"/>
    <w:basedOn w:val="Absatz-Standardschriftart"/>
    <w:link w:val="Kommentartext"/>
    <w:uiPriority w:val="99"/>
    <w:rsid w:val="00791250"/>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791250"/>
    <w:rPr>
      <w:b/>
      <w:bCs/>
    </w:rPr>
  </w:style>
  <w:style w:type="character" w:customStyle="1" w:styleId="KommentarthemaZchn">
    <w:name w:val="Kommentarthema Zchn"/>
    <w:basedOn w:val="KommentartextZchn"/>
    <w:link w:val="Kommentarthema"/>
    <w:uiPriority w:val="99"/>
    <w:semiHidden/>
    <w:rsid w:val="00791250"/>
    <w:rPr>
      <w:rFonts w:ascii="Times New Roman" w:eastAsia="Times New Roman" w:hAnsi="Times New Roman"/>
      <w:b/>
      <w:bCs/>
    </w:rPr>
  </w:style>
  <w:style w:type="paragraph" w:styleId="berarbeitung">
    <w:name w:val="Revision"/>
    <w:hidden/>
    <w:uiPriority w:val="99"/>
    <w:semiHidden/>
    <w:rsid w:val="00D3282B"/>
    <w:rPr>
      <w:rFonts w:ascii="Times New Roman" w:eastAsia="Times New Roman" w:hAnsi="Times New Roman"/>
    </w:rPr>
  </w:style>
  <w:style w:type="character" w:styleId="NichtaufgelsteErwhnung">
    <w:name w:val="Unresolved Mention"/>
    <w:basedOn w:val="Absatz-Standardschriftart"/>
    <w:uiPriority w:val="99"/>
    <w:semiHidden/>
    <w:unhideWhenUsed/>
    <w:rsid w:val="0083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0%20ait%20Allgemein\140%20Marketing\99_Office-Vorlagen\05_Masken\Maske%20alpha-innotec.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524D80BD5CDA49A3F7AFD267BDC961" ma:contentTypeVersion="18" ma:contentTypeDescription="Skapa ett nytt dokument." ma:contentTypeScope="" ma:versionID="7403b7732eac6eee186aa12a85236295">
  <xsd:schema xmlns:xsd="http://www.w3.org/2001/XMLSchema" xmlns:xs="http://www.w3.org/2001/XMLSchema" xmlns:p="http://schemas.microsoft.com/office/2006/metadata/properties" xmlns:ns2="1e3bafc2-222c-4604-8bba-d9e5cb347daa" xmlns:ns3="04d191fc-679f-488a-b5c8-eb2322dc4ca1" targetNamespace="http://schemas.microsoft.com/office/2006/metadata/properties" ma:root="true" ma:fieldsID="5fb39ecc320d4666507c870bd75819f4" ns2:_="" ns3:_="">
    <xsd:import namespace="1e3bafc2-222c-4604-8bba-d9e5cb347daa"/>
    <xsd:import namespace="04d191fc-679f-488a-b5c8-eb2322dc4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afc2-222c-4604-8bba-d9e5cb347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3c57393-e5c5-4ba2-b0aa-468338a3bd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191fc-679f-488a-b5c8-eb2322dc4ca1"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be7b02e4-ddbf-4732-9960-3a6ac85bfd15}" ma:internalName="TaxCatchAll" ma:showField="CatchAllData" ma:web="04d191fc-679f-488a-b5c8-eb2322dc4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3bafc2-222c-4604-8bba-d9e5cb347daa">
      <Terms xmlns="http://schemas.microsoft.com/office/infopath/2007/PartnerControls"/>
    </lcf76f155ced4ddcb4097134ff3c332f>
    <TaxCatchAll xmlns="04d191fc-679f-488a-b5c8-eb2322dc4c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72FF1-5AA1-4B50-AE61-13EB390B01ED}"/>
</file>

<file path=customXml/itemProps2.xml><?xml version="1.0" encoding="utf-8"?>
<ds:datastoreItem xmlns:ds="http://schemas.openxmlformats.org/officeDocument/2006/customXml" ds:itemID="{9E88A1D6-F045-49E1-9569-A708409CC74D}">
  <ds:schemaRefs>
    <ds:schemaRef ds:uri="http://schemas.microsoft.com/sharepoint/v3/contenttype/forms"/>
  </ds:schemaRefs>
</ds:datastoreItem>
</file>

<file path=customXml/itemProps3.xml><?xml version="1.0" encoding="utf-8"?>
<ds:datastoreItem xmlns:ds="http://schemas.openxmlformats.org/officeDocument/2006/customXml" ds:itemID="{20C3DECE-21EF-4FF2-8136-B7655F5A5A5C}">
  <ds:schemaRefs>
    <ds:schemaRef ds:uri="http://schemas.microsoft.com/office/2006/metadata/properties"/>
    <ds:schemaRef ds:uri="http://schemas.microsoft.com/office/infopath/2007/PartnerControls"/>
    <ds:schemaRef ds:uri="1e3bafc2-222c-4604-8bba-d9e5cb347daa"/>
    <ds:schemaRef ds:uri="04d191fc-679f-488a-b5c8-eb2322dc4ca1"/>
  </ds:schemaRefs>
</ds:datastoreItem>
</file>

<file path=customXml/itemProps4.xml><?xml version="1.0" encoding="utf-8"?>
<ds:datastoreItem xmlns:ds="http://schemas.openxmlformats.org/officeDocument/2006/customXml" ds:itemID="{404B004E-3352-4FD9-942F-ABE67073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Maske alpha-innotec.dotx</Template>
  <TotalTime>0</TotalTime>
  <Pages>2</Pages>
  <Words>433</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Calmotherm AG</Company>
  <LinksUpToDate>false</LinksUpToDate>
  <CharactersWithSpaces>3158</CharactersWithSpaces>
  <SharedDoc>false</SharedDoc>
  <HLinks>
    <vt:vector size="12" baseType="variant">
      <vt:variant>
        <vt:i4>2490440</vt:i4>
      </vt:variant>
      <vt:variant>
        <vt:i4>3</vt:i4>
      </vt:variant>
      <vt:variant>
        <vt:i4>0</vt:i4>
      </vt:variant>
      <vt:variant>
        <vt:i4>5</vt:i4>
      </vt:variant>
      <vt:variant>
        <vt:lpwstr>mailto:info@alpha-innotec.ch</vt:lpwstr>
      </vt:variant>
      <vt:variant>
        <vt:lpwstr/>
      </vt:variant>
      <vt:variant>
        <vt:i4>458843</vt:i4>
      </vt:variant>
      <vt:variant>
        <vt:i4>0</vt:i4>
      </vt:variant>
      <vt:variant>
        <vt:i4>0</vt:i4>
      </vt:variant>
      <vt:variant>
        <vt:i4>5</vt:i4>
      </vt:variant>
      <vt:variant>
        <vt:lpwstr>http://www.alpha-innotec.ch/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alois.koller</dc:creator>
  <cp:keywords/>
  <cp:lastModifiedBy>Alois Koller</cp:lastModifiedBy>
  <cp:revision>3</cp:revision>
  <cp:lastPrinted>2020-09-22T15:44:00Z</cp:lastPrinted>
  <dcterms:created xsi:type="dcterms:W3CDTF">2024-05-08T07:51:00Z</dcterms:created>
  <dcterms:modified xsi:type="dcterms:W3CDTF">2024-05-08T08:40:00Z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0x01010030524D80BD5CDA49A3F7AFD267BDC961</vt:lpwstr>
  </property>
</Properties>
</file>