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D21BF" w14:textId="77777777" w:rsidR="003A1B57" w:rsidRPr="000D15D4" w:rsidRDefault="00E20465" w:rsidP="00E20465">
      <w:pPr>
        <w:spacing w:line="276" w:lineRule="auto"/>
        <w:rPr>
          <w:rFonts w:ascii="UnitRoundedPro" w:hAnsi="UnitRoundedPro" w:cs="UnitRoundedPro"/>
          <w:color w:val="FF0000"/>
        </w:rPr>
      </w:pPr>
      <w:r w:rsidRPr="000D15D4">
        <w:rPr>
          <w:rFonts w:ascii="UnitRoundedPro" w:hAnsi="UnitRoundedPro" w:cs="UnitRoundedPro"/>
          <w:color w:val="FF0000"/>
        </w:rPr>
        <w:t>Neu: alpha innotec LWAV+ – leistungsstark und eine der leisesten Luft/Wasser-Wärmepumpen am Markt</w:t>
      </w:r>
    </w:p>
    <w:p w14:paraId="2304879C" w14:textId="77777777" w:rsidR="00E20465" w:rsidRDefault="00E20465" w:rsidP="003A1B57">
      <w:pPr>
        <w:spacing w:line="276" w:lineRule="auto"/>
        <w:rPr>
          <w:rFonts w:asciiTheme="minorHAnsi" w:hAnsiTheme="minorHAnsi" w:cstheme="minorHAnsi"/>
          <w:sz w:val="18"/>
          <w:szCs w:val="18"/>
        </w:rPr>
      </w:pPr>
    </w:p>
    <w:p w14:paraId="7FD342CF" w14:textId="77777777" w:rsidR="003A1B57" w:rsidRPr="003A1B57" w:rsidRDefault="003A1B57" w:rsidP="003A1B57">
      <w:pPr>
        <w:spacing w:line="276" w:lineRule="auto"/>
        <w:rPr>
          <w:rFonts w:asciiTheme="minorHAnsi" w:hAnsiTheme="minorHAnsi" w:cstheme="minorHAnsi"/>
          <w:sz w:val="18"/>
          <w:szCs w:val="18"/>
        </w:rPr>
      </w:pPr>
      <w:r w:rsidRPr="003A1B57">
        <w:rPr>
          <w:rFonts w:asciiTheme="minorHAnsi" w:hAnsiTheme="minorHAnsi" w:cstheme="minorHAnsi"/>
          <w:sz w:val="18"/>
          <w:szCs w:val="18"/>
        </w:rPr>
        <w:t xml:space="preserve">Altishofen, </w:t>
      </w:r>
      <w:r w:rsidR="00E20465">
        <w:rPr>
          <w:rFonts w:asciiTheme="minorHAnsi" w:hAnsiTheme="minorHAnsi" w:cstheme="minorHAnsi"/>
          <w:sz w:val="18"/>
          <w:szCs w:val="18"/>
        </w:rPr>
        <w:t>Mai 2020</w:t>
      </w:r>
    </w:p>
    <w:p w14:paraId="66B708EA" w14:textId="77777777" w:rsidR="003A1B57" w:rsidRPr="000D15D4" w:rsidRDefault="00E20465" w:rsidP="003A1B57">
      <w:pPr>
        <w:spacing w:line="276" w:lineRule="auto"/>
        <w:rPr>
          <w:rFonts w:ascii="UnitPro-Medi" w:hAnsi="UnitPro-Medi" w:cs="UnitPro-Medi"/>
          <w:b/>
          <w:sz w:val="20"/>
          <w:szCs w:val="20"/>
        </w:rPr>
      </w:pPr>
      <w:r w:rsidRPr="000D15D4">
        <w:rPr>
          <w:rFonts w:ascii="UnitPro-Medi" w:hAnsi="UnitPro-Medi" w:cs="UnitPro-Medi"/>
          <w:b/>
          <w:sz w:val="20"/>
          <w:szCs w:val="20"/>
        </w:rPr>
        <w:t>Praktisch nicht mehr zu hören: Die alpha innotec Wärmepumpe alira LWAV+ arbeitet selbst in verdichteten Wohngebieten lärmschutzkonform</w:t>
      </w:r>
      <w:r w:rsidR="003A1B57" w:rsidRPr="000D15D4">
        <w:rPr>
          <w:rFonts w:ascii="UnitPro-Medi" w:hAnsi="UnitPro-Medi" w:cs="UnitPro-Medi"/>
          <w:b/>
          <w:sz w:val="20"/>
          <w:szCs w:val="20"/>
        </w:rPr>
        <w:t>.</w:t>
      </w:r>
    </w:p>
    <w:p w14:paraId="16DDF3D1" w14:textId="77777777" w:rsidR="003A1B57" w:rsidRPr="00E20465" w:rsidRDefault="003A1B57" w:rsidP="003A1B57">
      <w:pPr>
        <w:spacing w:line="276" w:lineRule="auto"/>
        <w:rPr>
          <w:rFonts w:asciiTheme="minorHAnsi" w:hAnsiTheme="minorHAnsi" w:cstheme="minorHAnsi"/>
          <w:sz w:val="20"/>
          <w:szCs w:val="20"/>
        </w:rPr>
      </w:pPr>
    </w:p>
    <w:p w14:paraId="5BDF6799" w14:textId="77777777" w:rsidR="00E20465" w:rsidRPr="000D15D4" w:rsidRDefault="00E20465" w:rsidP="00E20465">
      <w:pPr>
        <w:spacing w:line="276" w:lineRule="auto"/>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Die Wärmepumpe gilt als das umweltfreundlichste und energieeffizienteste Heizsystem. Bestes Beispiel dafür sind die V-Line Serien von alpha innotec. Dank modernster Invertertechnologie richten sie sich automatisch und stufenlos am jeweils aktuellen Bedarf aus. Das macht die Geräte ausgesprochen leistungsstark, energiesparend und leise. Doch die Entwicklungsingenieure ruhten nicht und verringerten bei den aussen aufgestellten Luft/Wasser-Wärmepumpen die Geräuschemissionen weiter, um damit vor allem in eng bebauten Wohngebieten zu punkten. Das Ergebnis: Die brandneue Luft/Wasser-Wärmepumpe alira LWAV+ mit den neu entwickelten aerodynamischen Luftumlenkhauben – fast lautlos und eine der leisesten Monoblock-Wärmepumpen am Markt.</w:t>
      </w:r>
    </w:p>
    <w:p w14:paraId="24964E26" w14:textId="77777777" w:rsidR="00E20465" w:rsidRPr="00E20465" w:rsidRDefault="00E20465" w:rsidP="00E20465">
      <w:pPr>
        <w:spacing w:line="276" w:lineRule="auto"/>
        <w:rPr>
          <w:rFonts w:asciiTheme="minorHAnsi" w:hAnsiTheme="minorHAnsi" w:cstheme="minorHAnsi"/>
          <w:color w:val="000000"/>
          <w:sz w:val="20"/>
          <w:szCs w:val="20"/>
          <w:lang w:val="de-CH" w:eastAsia="de-CH"/>
        </w:rPr>
      </w:pPr>
    </w:p>
    <w:p w14:paraId="3540BB0E" w14:textId="77777777" w:rsidR="00E20465" w:rsidRPr="000D15D4" w:rsidRDefault="00E20465" w:rsidP="00E20465">
      <w:pPr>
        <w:spacing w:line="276" w:lineRule="auto"/>
        <w:rPr>
          <w:rFonts w:ascii="UnitPro-Medi" w:hAnsi="UnitPro-Medi" w:cs="UnitPro-Medi"/>
          <w:b/>
          <w:sz w:val="20"/>
          <w:szCs w:val="20"/>
        </w:rPr>
      </w:pPr>
      <w:r w:rsidRPr="000D15D4">
        <w:rPr>
          <w:rFonts w:ascii="UnitPro-Medi" w:hAnsi="UnitPro-Medi" w:cs="UnitPro-Medi"/>
          <w:b/>
          <w:sz w:val="20"/>
          <w:szCs w:val="20"/>
        </w:rPr>
        <w:t>45 dB(A) bei 3.6 Metern Abstand</w:t>
      </w:r>
    </w:p>
    <w:p w14:paraId="0F54EB38" w14:textId="77777777" w:rsidR="00E20465" w:rsidRPr="000D15D4" w:rsidRDefault="00E20465" w:rsidP="00E20465">
      <w:pPr>
        <w:spacing w:line="276" w:lineRule="auto"/>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Schon unter Volllast ist das Modell trotz hoher Leistung für die Umgebung fast nicht mehr hörbar. Für einen noch leiseren und sparsameren Betrieb sorgt der über eine Zeitschaltung individuell programmierbare Silent-Mode. Dieser reduziert die Heizleistung der alira LWAV+ auf 70 Prozent. Die daraus resultierende Schallleistung liegt dann bei 49 dB(A) und erfüllt die nach Lärmschutz-Verordnung (LSV) geforderten 45 dB(A) in einem Abstand von lediglich 3,6 Metern. Die Nachtruhe bleibt somit ungestört.</w:t>
      </w:r>
    </w:p>
    <w:p w14:paraId="47D082BC" w14:textId="77777777" w:rsidR="00E20465" w:rsidRPr="00E20465" w:rsidRDefault="00E20465" w:rsidP="00E20465">
      <w:pPr>
        <w:spacing w:line="276" w:lineRule="auto"/>
        <w:rPr>
          <w:rFonts w:asciiTheme="minorHAnsi" w:hAnsiTheme="minorHAnsi" w:cstheme="minorHAnsi"/>
          <w:color w:val="000000"/>
          <w:sz w:val="20"/>
          <w:szCs w:val="20"/>
          <w:lang w:val="de-CH" w:eastAsia="de-CH"/>
        </w:rPr>
      </w:pPr>
    </w:p>
    <w:p w14:paraId="25343366" w14:textId="77777777" w:rsidR="00E20465" w:rsidRPr="000D15D4" w:rsidRDefault="00E20465" w:rsidP="00E20465">
      <w:pPr>
        <w:spacing w:line="276" w:lineRule="auto"/>
        <w:rPr>
          <w:rFonts w:ascii="UnitPro-Medi" w:hAnsi="UnitPro-Medi" w:cs="UnitPro-Medi"/>
          <w:b/>
          <w:sz w:val="20"/>
          <w:szCs w:val="20"/>
        </w:rPr>
      </w:pPr>
      <w:r w:rsidRPr="000D15D4">
        <w:rPr>
          <w:rFonts w:ascii="UnitPro-Medi" w:hAnsi="UnitPro-Medi" w:cs="UnitPro-Medi"/>
          <w:b/>
          <w:sz w:val="20"/>
          <w:szCs w:val="20"/>
        </w:rPr>
        <w:t>Komplettes Zubehörprogramm</w:t>
      </w:r>
    </w:p>
    <w:p w14:paraId="5EA4A65F" w14:textId="77777777" w:rsidR="00E20465" w:rsidRPr="000D15D4" w:rsidRDefault="00E20465" w:rsidP="00E20465">
      <w:pPr>
        <w:spacing w:line="276" w:lineRule="auto"/>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Je nach Begebenheit kann die alira LWAV+ wahlweise mit dem Regler, mit einem Hydraulik-Modul oder mit einer Hydraulikstation mit integriertem Warmwasser-Speicher kombiniert werden. Entscheidet man sich für letzteres, erhält man ein aussergewöhnlich platzsparendes und installationsfreundliches Gesamtsystem für Heizen, Kühlen und die Warmwasserbereitung - die perfekte Komplettlösung.</w:t>
      </w:r>
    </w:p>
    <w:p w14:paraId="6D8F6DF0" w14:textId="77777777" w:rsidR="00E20465" w:rsidRPr="000D15D4" w:rsidRDefault="00E20465" w:rsidP="00E20465">
      <w:pPr>
        <w:spacing w:line="276" w:lineRule="auto"/>
        <w:rPr>
          <w:rFonts w:ascii="UnitPro-Medi" w:hAnsi="UnitPro-Medi" w:cs="UnitPro-Medi"/>
          <w:b/>
          <w:sz w:val="20"/>
          <w:szCs w:val="20"/>
        </w:rPr>
      </w:pPr>
    </w:p>
    <w:p w14:paraId="327991D1" w14:textId="77777777" w:rsidR="00E20465" w:rsidRPr="000D15D4" w:rsidRDefault="00E20465" w:rsidP="00E20465">
      <w:pPr>
        <w:spacing w:line="276" w:lineRule="auto"/>
        <w:rPr>
          <w:rFonts w:ascii="UnitPro-Medi" w:hAnsi="UnitPro-Medi" w:cs="UnitPro-Medi"/>
          <w:b/>
          <w:sz w:val="20"/>
          <w:szCs w:val="20"/>
        </w:rPr>
      </w:pPr>
      <w:r w:rsidRPr="000D15D4">
        <w:rPr>
          <w:rFonts w:ascii="UnitPro-Medi" w:hAnsi="UnitPro-Medi" w:cs="UnitPro-Medi"/>
          <w:b/>
          <w:sz w:val="20"/>
          <w:szCs w:val="20"/>
        </w:rPr>
        <w:t>Steuerung und Kontrolle jederzeit und überall</w:t>
      </w:r>
    </w:p>
    <w:p w14:paraId="7CDBBBB0" w14:textId="77777777" w:rsidR="00E20465" w:rsidRPr="000D15D4" w:rsidRDefault="00E20465" w:rsidP="00E20465">
      <w:pPr>
        <w:spacing w:line="276" w:lineRule="auto"/>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 xml:space="preserve">Die Bedienung der alira LWAV+ erfolgt mit dem benutzerfreundlichen Regler Luxtronik 2.1. Dank alpha web und alpha app kann die Wärmepumpe über das Internet per PC oder Mobilephone überwacht und geregelt werden. Die Anbindung an ein Gebäudeleitsystem via BACnet oder Modbus ist ebenfalls möglich. </w:t>
      </w:r>
    </w:p>
    <w:p w14:paraId="14BC5B0E" w14:textId="77777777" w:rsidR="00E20465" w:rsidRPr="00E20465" w:rsidRDefault="00E20465" w:rsidP="00E20465">
      <w:pPr>
        <w:spacing w:line="276" w:lineRule="auto"/>
        <w:rPr>
          <w:rFonts w:asciiTheme="minorHAnsi" w:hAnsiTheme="minorHAnsi" w:cstheme="minorHAnsi"/>
          <w:color w:val="000000"/>
          <w:sz w:val="20"/>
          <w:szCs w:val="20"/>
          <w:lang w:val="de-CH" w:eastAsia="de-CH"/>
        </w:rPr>
      </w:pPr>
    </w:p>
    <w:p w14:paraId="18FDF557" w14:textId="212A9294" w:rsidR="00E20465" w:rsidRDefault="00E20465" w:rsidP="00E20465">
      <w:pPr>
        <w:spacing w:line="276" w:lineRule="auto"/>
        <w:rPr>
          <w:rFonts w:ascii="UnitPro-Light" w:hAnsi="UnitPro-Light" w:cs="UnitPro-Light"/>
          <w:color w:val="000000"/>
          <w:sz w:val="20"/>
          <w:szCs w:val="20"/>
          <w:lang w:val="de-CH" w:eastAsia="de-CH"/>
        </w:rPr>
      </w:pPr>
      <w:r w:rsidRPr="000D15D4">
        <w:rPr>
          <w:rFonts w:ascii="UnitPro-Medi" w:hAnsi="UnitPro-Medi" w:cs="UnitPro-Medi"/>
          <w:b/>
          <w:sz w:val="20"/>
          <w:szCs w:val="20"/>
        </w:rPr>
        <w:t>Vertrauen Sie dem Marktführer</w:t>
      </w:r>
      <w:r w:rsidRPr="00E20465">
        <w:rPr>
          <w:rFonts w:asciiTheme="minorHAnsi" w:hAnsiTheme="minorHAnsi" w:cstheme="minorHAnsi"/>
          <w:b/>
          <w:color w:val="000000"/>
          <w:sz w:val="20"/>
          <w:szCs w:val="20"/>
          <w:lang w:val="de-CH" w:eastAsia="de-CH"/>
        </w:rPr>
        <w:br/>
      </w:r>
      <w:r w:rsidRPr="000D15D4">
        <w:rPr>
          <w:rFonts w:ascii="UnitPro-Light" w:hAnsi="UnitPro-Light" w:cs="UnitPro-Light"/>
          <w:color w:val="000000"/>
          <w:sz w:val="20"/>
          <w:szCs w:val="20"/>
          <w:lang w:val="de-CH" w:eastAsia="de-CH"/>
        </w:rPr>
        <w:t>Als Marktführer konzentriert sich alpha innotec seit Jahren ausschliesslich auf die Beratung und den Verkauf von Wärmepumpen- und Solarsystemen. Erfahrene Fachberater im Verkauf, Technik und  Kundendienst stehen umweltbewussten Interessenten mit Rat und Tat zur Seite.</w:t>
      </w:r>
    </w:p>
    <w:p w14:paraId="794604F0" w14:textId="0E386ED7" w:rsidR="009E30B0" w:rsidRDefault="009E30B0" w:rsidP="00E20465">
      <w:pPr>
        <w:spacing w:line="276" w:lineRule="auto"/>
        <w:rPr>
          <w:rFonts w:ascii="UnitPro-Light" w:hAnsi="UnitPro-Light" w:cs="UnitPro-Light"/>
          <w:color w:val="000000"/>
          <w:sz w:val="20"/>
          <w:szCs w:val="20"/>
          <w:lang w:val="de-CH" w:eastAsia="de-CH"/>
        </w:rPr>
      </w:pPr>
    </w:p>
    <w:p w14:paraId="17A7A5F1" w14:textId="77777777" w:rsidR="009E30B0" w:rsidRPr="000308E8" w:rsidRDefault="009E30B0" w:rsidP="009E30B0">
      <w:pPr>
        <w:pStyle w:val="bodytext"/>
        <w:shd w:val="clear" w:color="auto" w:fill="FFFFFF"/>
        <w:spacing w:before="0" w:beforeAutospacing="0" w:after="257" w:afterAutospacing="0"/>
        <w:rPr>
          <w:rFonts w:ascii="UnitPro-Light" w:hAnsi="UnitPro-Light" w:cs="UnitPro-Light"/>
          <w:color w:val="000000"/>
          <w:sz w:val="20"/>
          <w:szCs w:val="20"/>
        </w:rPr>
      </w:pPr>
      <w:r w:rsidRPr="000308E8">
        <w:rPr>
          <w:rFonts w:ascii="UnitPro-Light" w:hAnsi="UnitPro-Light" w:cs="UnitPro-Light"/>
          <w:color w:val="000000"/>
          <w:sz w:val="20"/>
          <w:szCs w:val="20"/>
        </w:rPr>
        <w:t>Anzahl Zeichen: 2474</w:t>
      </w:r>
    </w:p>
    <w:p w14:paraId="61B9C87F" w14:textId="7AF5B9C7" w:rsidR="003A1B57" w:rsidRPr="00E20465" w:rsidRDefault="009E30B0" w:rsidP="000308E8">
      <w:pPr>
        <w:pStyle w:val="bodytext"/>
        <w:shd w:val="clear" w:color="auto" w:fill="FFFFFF"/>
        <w:spacing w:before="0" w:beforeAutospacing="0" w:after="257" w:afterAutospacing="0"/>
        <w:rPr>
          <w:rFonts w:asciiTheme="minorHAnsi" w:hAnsiTheme="minorHAnsi" w:cstheme="minorHAnsi"/>
          <w:sz w:val="20"/>
          <w:szCs w:val="20"/>
        </w:rPr>
      </w:pPr>
      <w:r w:rsidRPr="000308E8">
        <w:rPr>
          <w:rFonts w:ascii="UnitPro-Light" w:hAnsi="UnitPro-Light" w:cs="UnitPro-Light"/>
          <w:color w:val="000000"/>
          <w:sz w:val="20"/>
          <w:szCs w:val="20"/>
        </w:rPr>
        <w:t>Anzahl Wörter: 397</w:t>
      </w:r>
      <w:bookmarkStart w:id="0" w:name="_GoBack"/>
      <w:bookmarkEnd w:id="0"/>
    </w:p>
    <w:p w14:paraId="2F4D8B53" w14:textId="77777777" w:rsidR="003A1B57" w:rsidRPr="000D15D4" w:rsidRDefault="005A4C11" w:rsidP="006444FE">
      <w:pPr>
        <w:spacing w:line="276" w:lineRule="auto"/>
        <w:rPr>
          <w:rFonts w:ascii="UnitPro-Medi" w:hAnsi="UnitPro-Medi" w:cs="UnitPro-Medi"/>
          <w:b/>
          <w:sz w:val="20"/>
          <w:szCs w:val="20"/>
        </w:rPr>
      </w:pPr>
      <w:r w:rsidRPr="000D15D4">
        <w:rPr>
          <w:rFonts w:ascii="UnitPro-Medi" w:hAnsi="UnitPro-Medi" w:cs="UnitPro-Medi"/>
          <w:b/>
          <w:sz w:val="20"/>
          <w:szCs w:val="20"/>
        </w:rPr>
        <w:t>Weitere Informationen</w:t>
      </w:r>
    </w:p>
    <w:p w14:paraId="4CE6CB2A" w14:textId="77777777" w:rsidR="003A1B57" w:rsidRPr="000D15D4" w:rsidRDefault="003A1B57" w:rsidP="006444FE">
      <w:pPr>
        <w:spacing w:line="276" w:lineRule="auto"/>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 xml:space="preserve">alpha innotec </w:t>
      </w:r>
    </w:p>
    <w:p w14:paraId="4D0CE632" w14:textId="77777777" w:rsidR="003A1B57" w:rsidRPr="000D15D4" w:rsidRDefault="003A1B57" w:rsidP="003A1B57">
      <w:pPr>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 xml:space="preserve">c/o ait Schweiz AG </w:t>
      </w:r>
    </w:p>
    <w:p w14:paraId="02E7E123" w14:textId="77777777" w:rsidR="003A1B57" w:rsidRPr="000D15D4" w:rsidRDefault="003A1B57" w:rsidP="003A1B57">
      <w:pPr>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Industriepark · 6246 Altishofen</w:t>
      </w:r>
    </w:p>
    <w:p w14:paraId="14B4AE72" w14:textId="77777777" w:rsidR="003A1B57" w:rsidRPr="000D15D4" w:rsidRDefault="003A1B57" w:rsidP="003A1B57">
      <w:pPr>
        <w:rPr>
          <w:rFonts w:ascii="UnitPro-Light" w:hAnsi="UnitPro-Light" w:cs="UnitPro-Light"/>
          <w:color w:val="000000"/>
          <w:sz w:val="20"/>
          <w:szCs w:val="20"/>
          <w:lang w:val="de-CH" w:eastAsia="de-CH"/>
        </w:rPr>
      </w:pPr>
      <w:r w:rsidRPr="000D15D4">
        <w:rPr>
          <w:rFonts w:ascii="UnitPro-Light" w:hAnsi="UnitPro-Light" w:cs="UnitPro-Light"/>
          <w:color w:val="000000"/>
          <w:sz w:val="20"/>
          <w:szCs w:val="20"/>
          <w:lang w:val="de-CH" w:eastAsia="de-CH"/>
        </w:rPr>
        <w:t>Tel. 058 252 20 00 · Fax 058 252 20 01</w:t>
      </w:r>
    </w:p>
    <w:p w14:paraId="7294FDC4" w14:textId="77777777" w:rsidR="003A1B57" w:rsidRPr="000D15D4" w:rsidRDefault="000308E8" w:rsidP="003A1B57">
      <w:pPr>
        <w:rPr>
          <w:rFonts w:ascii="UnitPro-Light" w:hAnsi="UnitPro-Light" w:cs="UnitPro-Light"/>
          <w:color w:val="000000"/>
          <w:sz w:val="20"/>
          <w:szCs w:val="20"/>
          <w:lang w:val="de-CH" w:eastAsia="de-CH"/>
        </w:rPr>
      </w:pPr>
      <w:hyperlink r:id="rId8" w:history="1">
        <w:r w:rsidR="003A1B57" w:rsidRPr="000D15D4">
          <w:rPr>
            <w:rFonts w:ascii="UnitPro-Light" w:hAnsi="UnitPro-Light" w:cs="UnitPro-Light"/>
            <w:color w:val="000000"/>
            <w:sz w:val="20"/>
            <w:szCs w:val="20"/>
            <w:lang w:val="de-CH" w:eastAsia="de-CH"/>
          </w:rPr>
          <w:t>www.alpha-innotec.ch</w:t>
        </w:r>
      </w:hyperlink>
      <w:r w:rsidR="003A1B57" w:rsidRPr="000D15D4">
        <w:rPr>
          <w:rFonts w:ascii="UnitPro-Light" w:hAnsi="UnitPro-Light" w:cs="UnitPro-Light"/>
          <w:color w:val="000000"/>
          <w:sz w:val="20"/>
          <w:szCs w:val="20"/>
          <w:lang w:val="de-CH" w:eastAsia="de-CH"/>
        </w:rPr>
        <w:t xml:space="preserve"> · </w:t>
      </w:r>
      <w:hyperlink r:id="rId9" w:history="1">
        <w:r w:rsidR="003A1B57" w:rsidRPr="000D15D4">
          <w:rPr>
            <w:rFonts w:ascii="UnitPro-Light" w:hAnsi="UnitPro-Light" w:cs="UnitPro-Light"/>
            <w:color w:val="000000"/>
            <w:sz w:val="20"/>
            <w:szCs w:val="20"/>
            <w:lang w:val="de-CH" w:eastAsia="de-CH"/>
          </w:rPr>
          <w:t>info@alpha-innotec.ch</w:t>
        </w:r>
      </w:hyperlink>
    </w:p>
    <w:p w14:paraId="58D83B71" w14:textId="116FFA68" w:rsidR="00E20465" w:rsidRDefault="00E20465">
      <w:pPr>
        <w:rPr>
          <w:rFonts w:asciiTheme="minorHAnsi" w:hAnsiTheme="minorHAnsi" w:cstheme="minorHAnsi"/>
          <w:b/>
          <w:color w:val="000000"/>
          <w:sz w:val="20"/>
          <w:szCs w:val="20"/>
          <w:lang w:val="de-CH" w:eastAsia="de-CH"/>
        </w:rPr>
      </w:pPr>
    </w:p>
    <w:p w14:paraId="7A6D45F9" w14:textId="77777777" w:rsidR="003A1B57" w:rsidRPr="000D15D4" w:rsidRDefault="005A4C11" w:rsidP="000D15D4">
      <w:pPr>
        <w:spacing w:line="276" w:lineRule="auto"/>
        <w:rPr>
          <w:rFonts w:ascii="UnitPro-Medi" w:hAnsi="UnitPro-Medi" w:cs="UnitPro-Medi"/>
          <w:b/>
          <w:sz w:val="20"/>
          <w:szCs w:val="20"/>
        </w:rPr>
      </w:pPr>
      <w:r w:rsidRPr="000D15D4">
        <w:rPr>
          <w:rFonts w:ascii="UnitPro-Medi" w:hAnsi="UnitPro-Medi" w:cs="UnitPro-Medi"/>
          <w:b/>
          <w:sz w:val="20"/>
          <w:szCs w:val="20"/>
        </w:rPr>
        <w:t>Bilder/Legenden</w:t>
      </w:r>
    </w:p>
    <w:tbl>
      <w:tblPr>
        <w:tblStyle w:val="Tabellenraster"/>
        <w:tblW w:w="9209" w:type="dxa"/>
        <w:tblLook w:val="04A0" w:firstRow="1" w:lastRow="0" w:firstColumn="1" w:lastColumn="0" w:noHBand="0" w:noVBand="1"/>
      </w:tblPr>
      <w:tblGrid>
        <w:gridCol w:w="4248"/>
        <w:gridCol w:w="4961"/>
      </w:tblGrid>
      <w:tr w:rsidR="00E20465" w:rsidRPr="00E20465" w14:paraId="788C6CFC" w14:textId="77777777" w:rsidTr="00DA64CB">
        <w:tc>
          <w:tcPr>
            <w:tcW w:w="4248" w:type="dxa"/>
          </w:tcPr>
          <w:p w14:paraId="4D225F30" w14:textId="77777777" w:rsidR="00E20465" w:rsidRDefault="00E20465" w:rsidP="00082D1C">
            <w:pPr>
              <w:spacing w:line="276" w:lineRule="auto"/>
              <w:rPr>
                <w:rFonts w:asciiTheme="minorHAnsi" w:hAnsiTheme="minorHAnsi" w:cstheme="minorHAnsi"/>
                <w:color w:val="000000"/>
                <w:sz w:val="18"/>
                <w:szCs w:val="18"/>
                <w:lang w:eastAsia="de-CH"/>
              </w:rPr>
            </w:pPr>
            <w:r w:rsidRPr="00A468EC">
              <w:rPr>
                <w:rFonts w:asciiTheme="minorHAnsi" w:hAnsiTheme="minorHAnsi" w:cstheme="minorHAnsi"/>
                <w:noProof/>
                <w:color w:val="000000"/>
                <w:sz w:val="18"/>
                <w:szCs w:val="18"/>
                <w:lang w:val="de-CH" w:eastAsia="de-CH"/>
              </w:rPr>
              <w:drawing>
                <wp:inline distT="0" distB="0" distL="0" distR="0" wp14:anchorId="75883FF9" wp14:editId="070B17A4">
                  <wp:extent cx="867646" cy="1130785"/>
                  <wp:effectExtent l="0" t="0" r="889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78397" cy="1144797"/>
                          </a:xfrm>
                          <a:prstGeom prst="rect">
                            <a:avLst/>
                          </a:prstGeom>
                        </pic:spPr>
                      </pic:pic>
                    </a:graphicData>
                  </a:graphic>
                </wp:inline>
              </w:drawing>
            </w:r>
            <w:r>
              <w:rPr>
                <w:rFonts w:asciiTheme="minorHAnsi" w:hAnsiTheme="minorHAnsi" w:cstheme="minorHAnsi"/>
                <w:color w:val="000000"/>
                <w:sz w:val="18"/>
                <w:szCs w:val="18"/>
                <w:lang w:eastAsia="de-CH"/>
              </w:rPr>
              <w:t xml:space="preserve"> </w:t>
            </w:r>
            <w:r w:rsidRPr="00A468EC">
              <w:rPr>
                <w:rFonts w:asciiTheme="minorHAnsi" w:hAnsiTheme="minorHAnsi" w:cstheme="minorHAnsi"/>
                <w:noProof/>
                <w:color w:val="000000"/>
                <w:sz w:val="18"/>
                <w:szCs w:val="18"/>
                <w:lang w:val="de-CH" w:eastAsia="de-CH"/>
              </w:rPr>
              <w:drawing>
                <wp:inline distT="0" distB="0" distL="0" distR="0" wp14:anchorId="4F969C82" wp14:editId="5FFF0E54">
                  <wp:extent cx="1528654" cy="1008757"/>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49371" cy="1022428"/>
                          </a:xfrm>
                          <a:prstGeom prst="rect">
                            <a:avLst/>
                          </a:prstGeom>
                        </pic:spPr>
                      </pic:pic>
                    </a:graphicData>
                  </a:graphic>
                </wp:inline>
              </w:drawing>
            </w:r>
          </w:p>
          <w:p w14:paraId="3AAA867C" w14:textId="77777777" w:rsidR="00E20465" w:rsidRDefault="00E20465" w:rsidP="00082D1C">
            <w:pPr>
              <w:spacing w:line="276" w:lineRule="auto"/>
              <w:rPr>
                <w:rFonts w:asciiTheme="minorHAnsi" w:hAnsiTheme="minorHAnsi" w:cstheme="minorHAnsi"/>
                <w:color w:val="000000"/>
                <w:sz w:val="18"/>
                <w:szCs w:val="18"/>
                <w:lang w:eastAsia="de-CH"/>
              </w:rPr>
            </w:pPr>
          </w:p>
          <w:p w14:paraId="3AF618EA" w14:textId="77777777" w:rsidR="00E20465" w:rsidRPr="00E20465" w:rsidRDefault="00E20465" w:rsidP="00082D1C">
            <w:pPr>
              <w:spacing w:line="276" w:lineRule="auto"/>
              <w:rPr>
                <w:rFonts w:asciiTheme="minorHAnsi" w:hAnsiTheme="minorHAnsi" w:cstheme="minorHAnsi"/>
                <w:color w:val="000000"/>
                <w:sz w:val="18"/>
                <w:szCs w:val="18"/>
                <w:lang w:val="fr-CH" w:eastAsia="de-CH"/>
              </w:rPr>
            </w:pPr>
            <w:r w:rsidRPr="00E20465">
              <w:rPr>
                <w:rFonts w:asciiTheme="minorHAnsi" w:hAnsiTheme="minorHAnsi" w:cstheme="minorHAnsi"/>
                <w:color w:val="000000"/>
                <w:sz w:val="18"/>
                <w:szCs w:val="18"/>
                <w:lang w:val="fr-CH" w:eastAsia="de-CH"/>
              </w:rPr>
              <w:t>alira_LWAV-Plus_Ansicht_quer.jpg</w:t>
            </w:r>
          </w:p>
          <w:p w14:paraId="0E26A8FF" w14:textId="77777777" w:rsidR="00E20465" w:rsidRPr="004D6F3D" w:rsidRDefault="00E20465" w:rsidP="00082D1C">
            <w:pPr>
              <w:spacing w:line="276" w:lineRule="auto"/>
              <w:rPr>
                <w:rFonts w:asciiTheme="minorHAnsi" w:hAnsiTheme="minorHAnsi" w:cstheme="minorHAnsi"/>
                <w:color w:val="000000"/>
                <w:sz w:val="18"/>
                <w:szCs w:val="18"/>
                <w:lang w:eastAsia="de-CH"/>
              </w:rPr>
            </w:pPr>
            <w:r>
              <w:rPr>
                <w:rFonts w:asciiTheme="minorHAnsi" w:hAnsiTheme="minorHAnsi" w:cstheme="minorHAnsi"/>
                <w:color w:val="000000"/>
                <w:sz w:val="14"/>
                <w:szCs w:val="18"/>
                <w:lang w:eastAsia="de-CH"/>
              </w:rPr>
              <w:t>(Bildausschnitt</w:t>
            </w:r>
            <w:r w:rsidRPr="0020466E">
              <w:rPr>
                <w:rFonts w:asciiTheme="minorHAnsi" w:hAnsiTheme="minorHAnsi" w:cstheme="minorHAnsi"/>
                <w:color w:val="000000"/>
                <w:sz w:val="14"/>
                <w:szCs w:val="18"/>
                <w:lang w:eastAsia="de-CH"/>
              </w:rPr>
              <w:t xml:space="preserve"> nach Wahl)</w:t>
            </w:r>
          </w:p>
        </w:tc>
        <w:tc>
          <w:tcPr>
            <w:tcW w:w="4961" w:type="dxa"/>
          </w:tcPr>
          <w:p w14:paraId="7C2DE5E5" w14:textId="77777777" w:rsidR="00E20465" w:rsidRDefault="00E20465" w:rsidP="00082D1C">
            <w:pPr>
              <w:spacing w:line="276" w:lineRule="auto"/>
              <w:rPr>
                <w:rFonts w:asciiTheme="minorHAnsi" w:hAnsiTheme="minorHAnsi" w:cstheme="minorHAnsi"/>
                <w:color w:val="000000"/>
                <w:sz w:val="18"/>
                <w:szCs w:val="18"/>
                <w:lang w:eastAsia="de-CH"/>
              </w:rPr>
            </w:pPr>
            <w:r w:rsidRPr="00A468EC">
              <w:rPr>
                <w:rFonts w:asciiTheme="minorHAnsi" w:hAnsiTheme="minorHAnsi" w:cstheme="minorHAnsi"/>
                <w:noProof/>
                <w:color w:val="000000"/>
                <w:sz w:val="18"/>
                <w:szCs w:val="18"/>
                <w:lang w:val="de-CH" w:eastAsia="de-CH"/>
              </w:rPr>
              <w:drawing>
                <wp:inline distT="0" distB="0" distL="0" distR="0" wp14:anchorId="56D583F5" wp14:editId="583426DE">
                  <wp:extent cx="1521674" cy="1139502"/>
                  <wp:effectExtent l="0" t="0" r="254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182" cy="1163096"/>
                          </a:xfrm>
                          <a:prstGeom prst="rect">
                            <a:avLst/>
                          </a:prstGeom>
                        </pic:spPr>
                      </pic:pic>
                    </a:graphicData>
                  </a:graphic>
                </wp:inline>
              </w:drawing>
            </w:r>
          </w:p>
          <w:p w14:paraId="07D9894A" w14:textId="77777777" w:rsidR="00E20465" w:rsidRDefault="00E20465" w:rsidP="00082D1C">
            <w:pPr>
              <w:spacing w:line="276" w:lineRule="auto"/>
              <w:rPr>
                <w:rFonts w:asciiTheme="minorHAnsi" w:hAnsiTheme="minorHAnsi" w:cstheme="minorHAnsi"/>
                <w:color w:val="000000"/>
                <w:sz w:val="18"/>
                <w:szCs w:val="18"/>
                <w:lang w:eastAsia="de-CH"/>
              </w:rPr>
            </w:pPr>
          </w:p>
          <w:p w14:paraId="3F74A28A" w14:textId="77777777" w:rsidR="00E20465" w:rsidRPr="00E20465" w:rsidRDefault="00E20465" w:rsidP="00082D1C">
            <w:pPr>
              <w:spacing w:line="276" w:lineRule="auto"/>
              <w:rPr>
                <w:rFonts w:asciiTheme="minorHAnsi" w:hAnsiTheme="minorHAnsi" w:cstheme="minorHAnsi"/>
                <w:color w:val="000000"/>
                <w:sz w:val="18"/>
                <w:szCs w:val="18"/>
                <w:lang w:val="de-CH" w:eastAsia="de-CH"/>
              </w:rPr>
            </w:pPr>
            <w:r w:rsidRPr="00E20465">
              <w:rPr>
                <w:rFonts w:asciiTheme="minorHAnsi" w:hAnsiTheme="minorHAnsi" w:cstheme="minorHAnsi"/>
                <w:color w:val="000000"/>
                <w:sz w:val="18"/>
                <w:szCs w:val="18"/>
                <w:lang w:val="de-CH" w:eastAsia="de-CH"/>
              </w:rPr>
              <w:t>alira_LWAV-Plus_mit-Zubehoer.jpg</w:t>
            </w:r>
          </w:p>
        </w:tc>
      </w:tr>
      <w:tr w:rsidR="00E20465" w:rsidRPr="004D6F3D" w14:paraId="2E859B24" w14:textId="77777777" w:rsidTr="00E20465">
        <w:tc>
          <w:tcPr>
            <w:tcW w:w="4248" w:type="dxa"/>
          </w:tcPr>
          <w:p w14:paraId="3E3DEC1E" w14:textId="77777777" w:rsidR="00E20465" w:rsidRPr="004D6F3D" w:rsidRDefault="00E20465" w:rsidP="00082D1C">
            <w:pPr>
              <w:spacing w:line="276" w:lineRule="auto"/>
              <w:rPr>
                <w:rFonts w:asciiTheme="minorHAnsi" w:hAnsiTheme="minorHAnsi" w:cstheme="minorHAnsi"/>
                <w:noProof/>
                <w:sz w:val="18"/>
                <w:lang w:val="de-CH" w:eastAsia="de-CH"/>
              </w:rPr>
            </w:pPr>
            <w:r w:rsidRPr="000D15D4">
              <w:rPr>
                <w:rFonts w:ascii="UnitPro-Light" w:hAnsi="UnitPro-Light" w:cs="UnitPro-Light"/>
                <w:color w:val="000000"/>
                <w:sz w:val="20"/>
                <w:szCs w:val="20"/>
                <w:lang w:val="de-CH" w:eastAsia="de-CH"/>
              </w:rPr>
              <w:t>Den Nachbarn zuliebe - die alira LWAV+ mit serienmässiger Schalloptimierung.</w:t>
            </w:r>
          </w:p>
        </w:tc>
        <w:tc>
          <w:tcPr>
            <w:tcW w:w="4961" w:type="dxa"/>
          </w:tcPr>
          <w:p w14:paraId="68981C61" w14:textId="77777777" w:rsidR="00E20465" w:rsidRPr="004D6F3D" w:rsidRDefault="00E20465" w:rsidP="00082D1C">
            <w:pPr>
              <w:spacing w:line="276" w:lineRule="auto"/>
              <w:rPr>
                <w:rFonts w:asciiTheme="minorHAnsi" w:hAnsiTheme="minorHAnsi" w:cstheme="minorHAnsi"/>
                <w:noProof/>
                <w:sz w:val="18"/>
                <w:lang w:val="de-CH" w:eastAsia="de-CH"/>
              </w:rPr>
            </w:pPr>
            <w:r w:rsidRPr="000D15D4">
              <w:rPr>
                <w:rFonts w:ascii="UnitPro-Light" w:hAnsi="UnitPro-Light" w:cs="UnitPro-Light"/>
                <w:color w:val="000000"/>
                <w:sz w:val="20"/>
                <w:szCs w:val="20"/>
                <w:lang w:val="de-CH" w:eastAsia="de-CH"/>
              </w:rPr>
              <w:t>Volle Flexibilität – das Zubehörprogramm der alira LWAV+.</w:t>
            </w:r>
          </w:p>
        </w:tc>
      </w:tr>
    </w:tbl>
    <w:p w14:paraId="569D8F1D" w14:textId="77777777" w:rsidR="0033164C" w:rsidRDefault="0033164C" w:rsidP="00AF1CE2">
      <w:pPr>
        <w:rPr>
          <w:rFonts w:asciiTheme="minorHAnsi" w:hAnsiTheme="minorHAnsi" w:cstheme="minorHAnsi"/>
        </w:rPr>
      </w:pPr>
    </w:p>
    <w:sectPr w:rsidR="0033164C" w:rsidSect="003A1B57">
      <w:headerReference w:type="default" r:id="rId13"/>
      <w:footerReference w:type="default" r:id="rId14"/>
      <w:pgSz w:w="11906" w:h="16838" w:code="9"/>
      <w:pgMar w:top="2127" w:right="1134" w:bottom="1134" w:left="147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8F210" w14:textId="77777777" w:rsidR="003A1B57" w:rsidRDefault="003A1B57" w:rsidP="00595C4A">
      <w:r>
        <w:separator/>
      </w:r>
    </w:p>
  </w:endnote>
  <w:endnote w:type="continuationSeparator" w:id="0">
    <w:p w14:paraId="66096211" w14:textId="77777777" w:rsidR="003A1B57" w:rsidRDefault="003A1B57" w:rsidP="0059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tRoundedPro">
    <w:panose1 w:val="020B0504030101020102"/>
    <w:charset w:val="00"/>
    <w:family w:val="swiss"/>
    <w:notTrueType/>
    <w:pitch w:val="variable"/>
    <w:sig w:usb0="A00000FF" w:usb1="5000207B" w:usb2="00000008" w:usb3="00000000" w:csb0="00000093" w:csb1="00000000"/>
  </w:font>
  <w:font w:name="UnitPro-Medi">
    <w:panose1 w:val="020B0604030101020102"/>
    <w:charset w:val="00"/>
    <w:family w:val="swiss"/>
    <w:notTrueType/>
    <w:pitch w:val="variable"/>
    <w:sig w:usb0="A00002FF" w:usb1="5000207B" w:usb2="00000008" w:usb3="00000000" w:csb0="0000009F" w:csb1="00000000"/>
  </w:font>
  <w:font w:name="UnitPro-Light">
    <w:panose1 w:val="020B0504030101020102"/>
    <w:charset w:val="00"/>
    <w:family w:val="swiss"/>
    <w:notTrueType/>
    <w:pitch w:val="variable"/>
    <w:sig w:usb0="A00002FF" w:usb1="5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4AF1" w14:textId="77777777" w:rsidR="00B93F7F" w:rsidRDefault="00A253BB" w:rsidP="001E4787">
    <w:pPr>
      <w:pStyle w:val="Fuzeile"/>
      <w:tabs>
        <w:tab w:val="left" w:pos="1134"/>
        <w:tab w:val="left" w:pos="5103"/>
        <w:tab w:val="left" w:pos="6379"/>
      </w:tabs>
    </w:pPr>
    <w:r>
      <w:rPr>
        <w:noProof/>
        <w:lang w:eastAsia="de-CH"/>
      </w:rPr>
      <w:drawing>
        <wp:inline distT="0" distB="0" distL="0" distR="0" wp14:anchorId="669D6809" wp14:editId="3FAD0E84">
          <wp:extent cx="5904230" cy="105410"/>
          <wp:effectExtent l="0" t="0" r="127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sszeile_alpha-Drucksach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4230" cy="1054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3FCD2" w14:textId="77777777" w:rsidR="003A1B57" w:rsidRDefault="003A1B57" w:rsidP="00595C4A">
      <w:r>
        <w:separator/>
      </w:r>
    </w:p>
  </w:footnote>
  <w:footnote w:type="continuationSeparator" w:id="0">
    <w:p w14:paraId="1A7AB030" w14:textId="77777777" w:rsidR="003A1B57" w:rsidRDefault="003A1B57" w:rsidP="0059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B8A46" w14:textId="77777777" w:rsidR="00B93F7F" w:rsidRDefault="00B93F7F" w:rsidP="00F62475">
    <w:pPr>
      <w:pStyle w:val="Kopfzeile"/>
      <w:tabs>
        <w:tab w:val="left" w:pos="1134"/>
        <w:tab w:val="left" w:pos="7655"/>
      </w:tabs>
    </w:pPr>
  </w:p>
  <w:p w14:paraId="26D4943F" w14:textId="77777777" w:rsidR="00B93F7F" w:rsidRDefault="00B93F7F" w:rsidP="00821622">
    <w:pPr>
      <w:pStyle w:val="Kopfzeile"/>
      <w:tabs>
        <w:tab w:val="clear" w:pos="9072"/>
        <w:tab w:val="left" w:pos="1134"/>
        <w:tab w:val="left" w:pos="4962"/>
        <w:tab w:val="left" w:pos="6521"/>
        <w:tab w:val="left" w:pos="8080"/>
      </w:tabs>
    </w:pPr>
  </w:p>
  <w:p w14:paraId="4447EF2E" w14:textId="77777777" w:rsidR="006B155E" w:rsidRDefault="00A253BB" w:rsidP="00821622">
    <w:pPr>
      <w:pStyle w:val="Kopfzeile"/>
      <w:tabs>
        <w:tab w:val="clear" w:pos="9072"/>
        <w:tab w:val="left" w:pos="1134"/>
        <w:tab w:val="left" w:pos="4962"/>
        <w:tab w:val="left" w:pos="6521"/>
        <w:tab w:val="left" w:pos="8080"/>
      </w:tabs>
    </w:pPr>
    <w:r>
      <w:rPr>
        <w:noProof/>
        <w:lang w:eastAsia="de-CH"/>
      </w:rPr>
      <w:drawing>
        <wp:inline distT="0" distB="0" distL="0" distR="0" wp14:anchorId="2B222797" wp14:editId="58559762">
          <wp:extent cx="5904230" cy="727075"/>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zeile_alpha-Drucksach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4230" cy="727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533C5A"/>
    <w:multiLevelType w:val="multilevel"/>
    <w:tmpl w:val="1794D0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B57"/>
    <w:rsid w:val="0000341C"/>
    <w:rsid w:val="00006F2B"/>
    <w:rsid w:val="000308E8"/>
    <w:rsid w:val="00063C90"/>
    <w:rsid w:val="00066AA3"/>
    <w:rsid w:val="00070286"/>
    <w:rsid w:val="000C1735"/>
    <w:rsid w:val="000D15D4"/>
    <w:rsid w:val="00101367"/>
    <w:rsid w:val="00105D90"/>
    <w:rsid w:val="0010784B"/>
    <w:rsid w:val="00110966"/>
    <w:rsid w:val="00133354"/>
    <w:rsid w:val="00153F62"/>
    <w:rsid w:val="001575CE"/>
    <w:rsid w:val="00162F21"/>
    <w:rsid w:val="00166189"/>
    <w:rsid w:val="001D4222"/>
    <w:rsid w:val="001E4787"/>
    <w:rsid w:val="001E68AF"/>
    <w:rsid w:val="00203E1A"/>
    <w:rsid w:val="00213D52"/>
    <w:rsid w:val="00270273"/>
    <w:rsid w:val="002A6DF0"/>
    <w:rsid w:val="002B6239"/>
    <w:rsid w:val="002E3F65"/>
    <w:rsid w:val="00302080"/>
    <w:rsid w:val="003177D2"/>
    <w:rsid w:val="00320179"/>
    <w:rsid w:val="00327F3C"/>
    <w:rsid w:val="0033164C"/>
    <w:rsid w:val="003470A8"/>
    <w:rsid w:val="00355DCA"/>
    <w:rsid w:val="00372CF6"/>
    <w:rsid w:val="0038332B"/>
    <w:rsid w:val="0038335B"/>
    <w:rsid w:val="0038420C"/>
    <w:rsid w:val="003A1B57"/>
    <w:rsid w:val="003A2DB4"/>
    <w:rsid w:val="00405A1C"/>
    <w:rsid w:val="00451E56"/>
    <w:rsid w:val="0045259B"/>
    <w:rsid w:val="004564D2"/>
    <w:rsid w:val="004866F3"/>
    <w:rsid w:val="004C6923"/>
    <w:rsid w:val="004D7418"/>
    <w:rsid w:val="004F4311"/>
    <w:rsid w:val="005011CC"/>
    <w:rsid w:val="005235F1"/>
    <w:rsid w:val="005244AE"/>
    <w:rsid w:val="00544AB1"/>
    <w:rsid w:val="00595C4A"/>
    <w:rsid w:val="005A4C11"/>
    <w:rsid w:val="005B551B"/>
    <w:rsid w:val="005C4F71"/>
    <w:rsid w:val="005D3134"/>
    <w:rsid w:val="005D617C"/>
    <w:rsid w:val="005E29B1"/>
    <w:rsid w:val="005E32AF"/>
    <w:rsid w:val="005F2621"/>
    <w:rsid w:val="005F280B"/>
    <w:rsid w:val="005F4325"/>
    <w:rsid w:val="006353BD"/>
    <w:rsid w:val="006444FE"/>
    <w:rsid w:val="00650B1E"/>
    <w:rsid w:val="00684483"/>
    <w:rsid w:val="00695047"/>
    <w:rsid w:val="006B155E"/>
    <w:rsid w:val="006D6A78"/>
    <w:rsid w:val="006D6AB4"/>
    <w:rsid w:val="006D7A55"/>
    <w:rsid w:val="00704608"/>
    <w:rsid w:val="00713709"/>
    <w:rsid w:val="00727DBC"/>
    <w:rsid w:val="00752858"/>
    <w:rsid w:val="00760485"/>
    <w:rsid w:val="00785762"/>
    <w:rsid w:val="007922A3"/>
    <w:rsid w:val="0079502C"/>
    <w:rsid w:val="007B6CB5"/>
    <w:rsid w:val="007D258D"/>
    <w:rsid w:val="007D418C"/>
    <w:rsid w:val="007E57A6"/>
    <w:rsid w:val="007E7341"/>
    <w:rsid w:val="007F42AE"/>
    <w:rsid w:val="008026EF"/>
    <w:rsid w:val="0081698C"/>
    <w:rsid w:val="00821622"/>
    <w:rsid w:val="00826CE2"/>
    <w:rsid w:val="00865AA3"/>
    <w:rsid w:val="00873392"/>
    <w:rsid w:val="00875CE4"/>
    <w:rsid w:val="00885F34"/>
    <w:rsid w:val="00895800"/>
    <w:rsid w:val="00896C47"/>
    <w:rsid w:val="008A7EDC"/>
    <w:rsid w:val="008C3627"/>
    <w:rsid w:val="008C48F4"/>
    <w:rsid w:val="008D1107"/>
    <w:rsid w:val="008F44AD"/>
    <w:rsid w:val="00902E34"/>
    <w:rsid w:val="009125E9"/>
    <w:rsid w:val="0092044E"/>
    <w:rsid w:val="0093000C"/>
    <w:rsid w:val="00947062"/>
    <w:rsid w:val="00953512"/>
    <w:rsid w:val="00992D01"/>
    <w:rsid w:val="009B6D3A"/>
    <w:rsid w:val="009C179E"/>
    <w:rsid w:val="009D519E"/>
    <w:rsid w:val="009E30B0"/>
    <w:rsid w:val="00A06314"/>
    <w:rsid w:val="00A253BB"/>
    <w:rsid w:val="00A25B63"/>
    <w:rsid w:val="00A33D4B"/>
    <w:rsid w:val="00A4619A"/>
    <w:rsid w:val="00A5049E"/>
    <w:rsid w:val="00A65CFF"/>
    <w:rsid w:val="00A84B56"/>
    <w:rsid w:val="00A917DA"/>
    <w:rsid w:val="00AA4B28"/>
    <w:rsid w:val="00AF1CE2"/>
    <w:rsid w:val="00AF6AB8"/>
    <w:rsid w:val="00B00067"/>
    <w:rsid w:val="00B0611E"/>
    <w:rsid w:val="00B152EF"/>
    <w:rsid w:val="00B25A15"/>
    <w:rsid w:val="00B44270"/>
    <w:rsid w:val="00B45C68"/>
    <w:rsid w:val="00B47868"/>
    <w:rsid w:val="00B52307"/>
    <w:rsid w:val="00B5450A"/>
    <w:rsid w:val="00B567E8"/>
    <w:rsid w:val="00B87D79"/>
    <w:rsid w:val="00B93F7F"/>
    <w:rsid w:val="00BA1CBC"/>
    <w:rsid w:val="00BB38DD"/>
    <w:rsid w:val="00BE7706"/>
    <w:rsid w:val="00C1208E"/>
    <w:rsid w:val="00C14440"/>
    <w:rsid w:val="00C245CE"/>
    <w:rsid w:val="00C52C51"/>
    <w:rsid w:val="00C55D9C"/>
    <w:rsid w:val="00C754CF"/>
    <w:rsid w:val="00C76297"/>
    <w:rsid w:val="00C8629B"/>
    <w:rsid w:val="00C95F4D"/>
    <w:rsid w:val="00CA3FF8"/>
    <w:rsid w:val="00CB3AB7"/>
    <w:rsid w:val="00D238E3"/>
    <w:rsid w:val="00D42840"/>
    <w:rsid w:val="00D51437"/>
    <w:rsid w:val="00D65ED5"/>
    <w:rsid w:val="00D950DF"/>
    <w:rsid w:val="00DA2A11"/>
    <w:rsid w:val="00DA64CB"/>
    <w:rsid w:val="00DB6F1B"/>
    <w:rsid w:val="00DD0467"/>
    <w:rsid w:val="00DD66CF"/>
    <w:rsid w:val="00DD7BBE"/>
    <w:rsid w:val="00DE0923"/>
    <w:rsid w:val="00DE5C48"/>
    <w:rsid w:val="00DF69E1"/>
    <w:rsid w:val="00E015F8"/>
    <w:rsid w:val="00E04714"/>
    <w:rsid w:val="00E11CB6"/>
    <w:rsid w:val="00E20465"/>
    <w:rsid w:val="00E26584"/>
    <w:rsid w:val="00E518F0"/>
    <w:rsid w:val="00E60890"/>
    <w:rsid w:val="00E608BF"/>
    <w:rsid w:val="00EC02EC"/>
    <w:rsid w:val="00EE2C4F"/>
    <w:rsid w:val="00F342D0"/>
    <w:rsid w:val="00F363B4"/>
    <w:rsid w:val="00F55868"/>
    <w:rsid w:val="00F62475"/>
    <w:rsid w:val="00F70C2F"/>
    <w:rsid w:val="00F9751B"/>
    <w:rsid w:val="00FB0837"/>
    <w:rsid w:val="00FC427B"/>
    <w:rsid w:val="00FE404D"/>
    <w:rsid w:val="00FE6A9C"/>
    <w:rsid w:val="00FF42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2A838B"/>
  <w15:docId w15:val="{4D5FD1EA-9A84-4A88-B17F-795E5638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Arial"/>
    <w:qFormat/>
    <w:rsid w:val="003A1B57"/>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5C4A"/>
    <w:pPr>
      <w:tabs>
        <w:tab w:val="center" w:pos="4536"/>
        <w:tab w:val="right" w:pos="9072"/>
      </w:tabs>
    </w:pPr>
    <w:rPr>
      <w:rFonts w:ascii="Calibri" w:eastAsia="Calibri" w:hAnsi="Calibri"/>
      <w:sz w:val="22"/>
      <w:szCs w:val="22"/>
      <w:lang w:val="de-CH" w:eastAsia="en-US"/>
    </w:rPr>
  </w:style>
  <w:style w:type="character" w:customStyle="1" w:styleId="KopfzeileZchn">
    <w:name w:val="Kopfzeile Zchn"/>
    <w:basedOn w:val="Absatz-Standardschriftart"/>
    <w:link w:val="Kopfzeile"/>
    <w:uiPriority w:val="99"/>
    <w:rsid w:val="00595C4A"/>
  </w:style>
  <w:style w:type="paragraph" w:styleId="Fuzeile">
    <w:name w:val="footer"/>
    <w:basedOn w:val="Standard"/>
    <w:link w:val="FuzeileZchn"/>
    <w:uiPriority w:val="99"/>
    <w:unhideWhenUsed/>
    <w:rsid w:val="00595C4A"/>
    <w:pPr>
      <w:tabs>
        <w:tab w:val="center" w:pos="4536"/>
        <w:tab w:val="right" w:pos="9072"/>
      </w:tabs>
    </w:pPr>
    <w:rPr>
      <w:rFonts w:ascii="Calibri" w:eastAsia="Calibri" w:hAnsi="Calibri"/>
      <w:sz w:val="22"/>
      <w:szCs w:val="22"/>
      <w:lang w:val="de-CH" w:eastAsia="en-US"/>
    </w:rPr>
  </w:style>
  <w:style w:type="character" w:customStyle="1" w:styleId="FuzeileZchn">
    <w:name w:val="Fußzeile Zchn"/>
    <w:basedOn w:val="Absatz-Standardschriftart"/>
    <w:link w:val="Fuzeile"/>
    <w:uiPriority w:val="99"/>
    <w:rsid w:val="00595C4A"/>
  </w:style>
  <w:style w:type="paragraph" w:styleId="Sprechblasentext">
    <w:name w:val="Balloon Text"/>
    <w:basedOn w:val="Standard"/>
    <w:link w:val="SprechblasentextZchn"/>
    <w:uiPriority w:val="99"/>
    <w:semiHidden/>
    <w:unhideWhenUsed/>
    <w:rsid w:val="00595C4A"/>
    <w:rPr>
      <w:rFonts w:ascii="Tahoma" w:eastAsia="Calibri" w:hAnsi="Tahoma" w:cs="Tahoma"/>
      <w:sz w:val="16"/>
      <w:szCs w:val="16"/>
      <w:lang w:val="de-CH" w:eastAsia="en-US"/>
    </w:rPr>
  </w:style>
  <w:style w:type="character" w:customStyle="1" w:styleId="SprechblasentextZchn">
    <w:name w:val="Sprechblasentext Zchn"/>
    <w:basedOn w:val="Absatz-Standardschriftart"/>
    <w:link w:val="Sprechblasentext"/>
    <w:uiPriority w:val="99"/>
    <w:semiHidden/>
    <w:rsid w:val="00595C4A"/>
    <w:rPr>
      <w:rFonts w:ascii="Tahoma" w:hAnsi="Tahoma" w:cs="Tahoma"/>
      <w:sz w:val="16"/>
      <w:szCs w:val="16"/>
    </w:rPr>
  </w:style>
  <w:style w:type="character" w:styleId="Hyperlink">
    <w:name w:val="Hyperlink"/>
    <w:basedOn w:val="Absatz-Standardschriftart"/>
    <w:uiPriority w:val="99"/>
    <w:unhideWhenUsed/>
    <w:rsid w:val="00355DCA"/>
    <w:rPr>
      <w:color w:val="0000FF"/>
      <w:u w:val="single"/>
    </w:rPr>
  </w:style>
  <w:style w:type="paragraph" w:customStyle="1" w:styleId="Closingsalutation">
    <w:name w:val="Closing salutation"/>
    <w:basedOn w:val="Standard"/>
    <w:rsid w:val="00C76297"/>
    <w:pPr>
      <w:spacing w:line="260" w:lineRule="atLeast"/>
    </w:pPr>
    <w:rPr>
      <w:rFonts w:ascii="Arial" w:eastAsia="Times" w:hAnsi="Arial"/>
      <w:sz w:val="22"/>
      <w:szCs w:val="20"/>
      <w:lang w:val="de-CH" w:eastAsia="de-CH"/>
    </w:rPr>
  </w:style>
  <w:style w:type="table" w:styleId="Tabellenraster">
    <w:name w:val="Table Grid"/>
    <w:basedOn w:val="NormaleTabelle"/>
    <w:uiPriority w:val="59"/>
    <w:rsid w:val="00C762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basedOn w:val="Standard"/>
    <w:rsid w:val="00153F62"/>
    <w:pPr>
      <w:spacing w:line="260" w:lineRule="atLeast"/>
    </w:pPr>
    <w:rPr>
      <w:rFonts w:ascii="Arial" w:hAnsi="Arial"/>
      <w:sz w:val="22"/>
      <w:szCs w:val="20"/>
      <w:lang w:val="de-CH" w:eastAsia="de-CH"/>
    </w:rPr>
  </w:style>
  <w:style w:type="paragraph" w:customStyle="1" w:styleId="Referencesublines">
    <w:name w:val="Reference sublines"/>
    <w:basedOn w:val="Reference"/>
    <w:rsid w:val="00153F62"/>
    <w:rPr>
      <w:b/>
      <w:spacing w:val="4"/>
      <w:sz w:val="14"/>
    </w:rPr>
  </w:style>
  <w:style w:type="paragraph" w:customStyle="1" w:styleId="Subject">
    <w:name w:val="Subject"/>
    <w:basedOn w:val="Standard"/>
    <w:next w:val="Standard"/>
    <w:rsid w:val="00153F62"/>
    <w:pPr>
      <w:spacing w:before="780" w:after="120" w:line="260" w:lineRule="atLeast"/>
    </w:pPr>
    <w:rPr>
      <w:rFonts w:ascii="Arial" w:eastAsia="Times" w:hAnsi="Arial"/>
      <w:b/>
      <w:sz w:val="22"/>
      <w:szCs w:val="20"/>
      <w:lang w:val="de-CH" w:eastAsia="de-CH"/>
    </w:rPr>
  </w:style>
  <w:style w:type="paragraph" w:styleId="Titel">
    <w:name w:val="Title"/>
    <w:basedOn w:val="Standard"/>
    <w:link w:val="TitelZchn"/>
    <w:qFormat/>
    <w:rsid w:val="00153F62"/>
    <w:pPr>
      <w:spacing w:before="240" w:after="60" w:line="260" w:lineRule="atLeast"/>
      <w:outlineLvl w:val="0"/>
    </w:pPr>
    <w:rPr>
      <w:rFonts w:ascii="Arial" w:hAnsi="Arial"/>
      <w:b/>
      <w:kern w:val="28"/>
      <w:sz w:val="32"/>
      <w:szCs w:val="20"/>
      <w:lang w:val="de-CH" w:eastAsia="de-CH"/>
    </w:rPr>
  </w:style>
  <w:style w:type="character" w:customStyle="1" w:styleId="TitelZchn">
    <w:name w:val="Titel Zchn"/>
    <w:basedOn w:val="Absatz-Standardschriftart"/>
    <w:link w:val="Titel"/>
    <w:rsid w:val="00153F62"/>
    <w:rPr>
      <w:rFonts w:ascii="Arial" w:eastAsia="Times New Roman" w:hAnsi="Arial"/>
      <w:b/>
      <w:kern w:val="28"/>
      <w:sz w:val="32"/>
    </w:rPr>
  </w:style>
  <w:style w:type="paragraph" w:customStyle="1" w:styleId="Lettercontent">
    <w:name w:val="Letter content"/>
    <w:basedOn w:val="Standard"/>
    <w:autoRedefine/>
    <w:rsid w:val="00992D01"/>
    <w:pPr>
      <w:spacing w:before="260" w:line="259" w:lineRule="auto"/>
    </w:pPr>
    <w:rPr>
      <w:rFonts w:ascii="Arial" w:eastAsia="Times" w:hAnsi="Arial"/>
      <w:sz w:val="22"/>
      <w:szCs w:val="20"/>
      <w:lang w:val="de-CH" w:eastAsia="de-CH"/>
    </w:rPr>
  </w:style>
  <w:style w:type="paragraph" w:customStyle="1" w:styleId="Textungewhlt">
    <w:name w:val="Text ungewählt"/>
    <w:basedOn w:val="Lettercontent"/>
    <w:rsid w:val="00992D01"/>
    <w:pPr>
      <w:tabs>
        <w:tab w:val="left" w:pos="284"/>
        <w:tab w:val="num" w:pos="1440"/>
        <w:tab w:val="left" w:pos="1559"/>
      </w:tabs>
      <w:spacing w:before="0"/>
      <w:ind w:left="1440" w:hanging="720"/>
    </w:pPr>
  </w:style>
  <w:style w:type="character" w:styleId="Platzhaltertext">
    <w:name w:val="Placeholder Text"/>
    <w:basedOn w:val="Absatz-Standardschriftart"/>
    <w:uiPriority w:val="99"/>
    <w:semiHidden/>
    <w:rsid w:val="004F4311"/>
    <w:rPr>
      <w:color w:val="808080"/>
    </w:rPr>
  </w:style>
  <w:style w:type="paragraph" w:customStyle="1" w:styleId="bodytext">
    <w:name w:val="bodytext"/>
    <w:basedOn w:val="Standard"/>
    <w:rsid w:val="009E30B0"/>
    <w:pPr>
      <w:spacing w:before="100" w:beforeAutospacing="1" w:after="100" w:afterAutospacing="1"/>
    </w:pPr>
    <w:rPr>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36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pha-innotec.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alpha-innotec.c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100%20ait%20Allgemein\140%20Marketing\99_Office-Vorlagen\01_Deutsch\alpha\Kurzmitteilung_alpha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12AB-7DA3-4395-B1E5-E55DDFC7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Kurzmitteilung_alpha_de</Template>
  <TotalTime>0</TotalTime>
  <Pages>2</Pages>
  <Words>430</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Calmotherm AG</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Rölli</dc:creator>
  <cp:lastModifiedBy>Kaya Hodel</cp:lastModifiedBy>
  <cp:revision>6</cp:revision>
  <cp:lastPrinted>2018-04-13T12:54:00Z</cp:lastPrinted>
  <dcterms:created xsi:type="dcterms:W3CDTF">2020-05-07T14:04:00Z</dcterms:created>
  <dcterms:modified xsi:type="dcterms:W3CDTF">2020-05-29T09:18:00Z</dcterms:modified>
</cp:coreProperties>
</file>